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6B" w:rsidRDefault="00790BF8" w:rsidP="00790BF8">
      <w:pPr>
        <w:spacing w:after="0" w:line="240" w:lineRule="auto"/>
        <w:rPr>
          <w:rFonts w:ascii="Verdana" w:hAnsi="Verdana"/>
          <w:b/>
          <w:bCs/>
          <w:i/>
          <w:iCs/>
          <w:color w:val="000000"/>
          <w:kern w:val="36"/>
          <w:sz w:val="27"/>
          <w:szCs w:val="27"/>
        </w:rPr>
      </w:pPr>
      <w:r>
        <w:rPr>
          <w:rFonts w:ascii="Verdana" w:hAnsi="Verdana"/>
          <w:b/>
          <w:bCs/>
          <w:i/>
          <w:iCs/>
          <w:color w:val="000000"/>
          <w:kern w:val="36"/>
          <w:sz w:val="27"/>
          <w:szCs w:val="27"/>
        </w:rPr>
        <w:t xml:space="preserve">EPA Agenda Includes Actions Related to </w:t>
      </w:r>
      <w:r w:rsidR="0040306B">
        <w:rPr>
          <w:rFonts w:ascii="Verdana" w:hAnsi="Verdana"/>
          <w:b/>
          <w:bCs/>
          <w:i/>
          <w:iCs/>
          <w:color w:val="000000"/>
          <w:kern w:val="36"/>
          <w:sz w:val="27"/>
          <w:szCs w:val="27"/>
        </w:rPr>
        <w:t>Stormwater, Fly Ash and Lead Paint</w:t>
      </w:r>
    </w:p>
    <w:p w:rsidR="00790BF8" w:rsidRDefault="00790BF8" w:rsidP="00790BF8">
      <w:pPr>
        <w:spacing w:after="0" w:line="240" w:lineRule="auto"/>
      </w:pPr>
    </w:p>
    <w:p w:rsidR="00790BF8" w:rsidRDefault="00D801A5" w:rsidP="00790BF8">
      <w:pPr>
        <w:spacing w:after="0" w:line="240" w:lineRule="auto"/>
      </w:pPr>
      <w:r w:rsidRPr="00790BF8">
        <w:t xml:space="preserve">As 2014 gets into gear, the U.S. Environmental Protection Agency </w:t>
      </w:r>
      <w:r w:rsidR="00B8267A" w:rsidRPr="00790BF8">
        <w:t xml:space="preserve">(EPA) </w:t>
      </w:r>
      <w:r w:rsidRPr="00790BF8">
        <w:t>is expected to make some significant regulatory decisions. </w:t>
      </w:r>
      <w:r w:rsidR="00D61424" w:rsidRPr="00790BF8">
        <w:t xml:space="preserve"> From </w:t>
      </w:r>
      <w:r w:rsidR="00633309" w:rsidRPr="00790BF8">
        <w:t xml:space="preserve">revisions to the construction stormwater management rules for active and completed sites and </w:t>
      </w:r>
      <w:r w:rsidR="00D61424" w:rsidRPr="00790BF8">
        <w:t xml:space="preserve">expanded </w:t>
      </w:r>
      <w:r w:rsidR="00633309" w:rsidRPr="00790BF8">
        <w:t xml:space="preserve">federal </w:t>
      </w:r>
      <w:r w:rsidR="00D61424" w:rsidRPr="00790BF8">
        <w:t xml:space="preserve">jurisdiction under the Clean Water Act </w:t>
      </w:r>
      <w:r w:rsidR="00633309" w:rsidRPr="00790BF8">
        <w:t xml:space="preserve">to new rules governing the management and disposal of fly ash </w:t>
      </w:r>
      <w:r w:rsidRPr="00790BF8">
        <w:t>– read on to identify and evaluate U.S. EPA activities so you</w:t>
      </w:r>
      <w:r w:rsidR="00B94F88">
        <w:t xml:space="preserve"> a</w:t>
      </w:r>
      <w:r w:rsidRPr="00790BF8">
        <w:t>re “one step ahead” of new requirements. </w:t>
      </w:r>
    </w:p>
    <w:p w:rsidR="00D801A5" w:rsidRPr="00790BF8" w:rsidRDefault="00D801A5" w:rsidP="00790BF8">
      <w:pPr>
        <w:spacing w:after="0" w:line="240" w:lineRule="auto"/>
      </w:pPr>
      <w:r w:rsidRPr="00790BF8">
        <w:t xml:space="preserve"> </w:t>
      </w:r>
    </w:p>
    <w:p w:rsidR="00AA0E1B" w:rsidRDefault="00890471" w:rsidP="00790BF8">
      <w:pPr>
        <w:spacing w:after="0" w:line="240" w:lineRule="auto"/>
        <w:rPr>
          <w:rFonts w:eastAsia="Times New Roman" w:cs="Times New Roman"/>
        </w:rPr>
      </w:pPr>
      <w:r w:rsidRPr="00790BF8">
        <w:rPr>
          <w:rFonts w:eastAsia="Times New Roman" w:cs="Times New Roman"/>
        </w:rPr>
        <w:t>The</w:t>
      </w:r>
      <w:r w:rsidR="00AA0E1B" w:rsidRPr="00790BF8">
        <w:rPr>
          <w:rFonts w:eastAsia="Times New Roman" w:cs="Times New Roman"/>
        </w:rPr>
        <w:t xml:space="preserve"> White House Office of Management and Budget</w:t>
      </w:r>
      <w:r w:rsidR="0029024C">
        <w:rPr>
          <w:rFonts w:eastAsia="Times New Roman" w:cs="Times New Roman"/>
        </w:rPr>
        <w:t xml:space="preserve"> recently </w:t>
      </w:r>
      <w:r w:rsidR="00B8267A" w:rsidRPr="00790BF8">
        <w:rPr>
          <w:rFonts w:eastAsia="Times New Roman" w:cs="Times New Roman"/>
        </w:rPr>
        <w:t>publishe</w:t>
      </w:r>
      <w:r w:rsidR="0029024C">
        <w:rPr>
          <w:rFonts w:eastAsia="Times New Roman" w:cs="Times New Roman"/>
        </w:rPr>
        <w:t>d</w:t>
      </w:r>
      <w:r w:rsidR="00AA0E1B" w:rsidRPr="00790BF8">
        <w:rPr>
          <w:rFonts w:eastAsia="Times New Roman" w:cs="Times New Roman"/>
        </w:rPr>
        <w:t xml:space="preserve"> its </w:t>
      </w:r>
      <w:r w:rsidR="00B8267A" w:rsidRPr="00790BF8">
        <w:rPr>
          <w:rFonts w:eastAsia="Times New Roman" w:cs="Times New Roman"/>
        </w:rPr>
        <w:t xml:space="preserve">semi-annual </w:t>
      </w:r>
      <w:hyperlink r:id="rId5" w:history="1">
        <w:r w:rsidR="00B8267A" w:rsidRPr="00843DDB">
          <w:rPr>
            <w:rStyle w:val="Hyperlink"/>
            <w:rFonts w:eastAsia="Times New Roman" w:cs="Times New Roman"/>
            <w:b/>
          </w:rPr>
          <w:t xml:space="preserve">Unified </w:t>
        </w:r>
        <w:r w:rsidR="00AA0E1B" w:rsidRPr="00843DDB">
          <w:rPr>
            <w:rStyle w:val="Hyperlink"/>
            <w:rFonts w:eastAsia="Times New Roman" w:cs="Times New Roman"/>
            <w:b/>
          </w:rPr>
          <w:t>Agenda</w:t>
        </w:r>
        <w:r w:rsidR="00B8267A" w:rsidRPr="00843DDB">
          <w:rPr>
            <w:rStyle w:val="Hyperlink"/>
            <w:rFonts w:eastAsia="Times New Roman" w:cs="Times New Roman"/>
            <w:b/>
          </w:rPr>
          <w:t xml:space="preserve"> of Federal Regulatory Actions</w:t>
        </w:r>
      </w:hyperlink>
      <w:r w:rsidR="00AA0E1B" w:rsidRPr="00790BF8">
        <w:rPr>
          <w:rFonts w:eastAsia="Times New Roman" w:cs="Times New Roman"/>
        </w:rPr>
        <w:t>, which includes rulemaking priorities for EPA. EPA</w:t>
      </w:r>
      <w:r w:rsidR="00B8267A" w:rsidRPr="00790BF8">
        <w:rPr>
          <w:rFonts w:eastAsia="Times New Roman" w:cs="Times New Roman"/>
        </w:rPr>
        <w:t xml:space="preserve">’s companion Regulatory Plan explains that it intends for its </w:t>
      </w:r>
      <w:r w:rsidR="00AA0E1B" w:rsidRPr="00790BF8">
        <w:rPr>
          <w:rFonts w:eastAsia="Times New Roman" w:cs="Times New Roman"/>
        </w:rPr>
        <w:t>rulemaking efforts</w:t>
      </w:r>
      <w:r w:rsidR="00B8267A" w:rsidRPr="00790BF8">
        <w:rPr>
          <w:rFonts w:eastAsia="Times New Roman" w:cs="Times New Roman"/>
        </w:rPr>
        <w:t xml:space="preserve"> to </w:t>
      </w:r>
      <w:r w:rsidR="00AA0E1B" w:rsidRPr="00790BF8">
        <w:rPr>
          <w:rFonts w:eastAsia="Times New Roman" w:cs="Times New Roman"/>
        </w:rPr>
        <w:t>support six “guiding priorities,” which are (1) making a visible difference in communities; (2) addressing climate change and improving air quality; (3) taking action on toxics and chemical safety; (4) protecting water; (5) launching a new era of state, tribal, and local partnership; and (6) working toward a sustainable future.</w:t>
      </w:r>
    </w:p>
    <w:p w:rsidR="00790BF8" w:rsidRPr="00790BF8" w:rsidRDefault="00790BF8" w:rsidP="00790BF8">
      <w:pPr>
        <w:spacing w:after="0" w:line="240" w:lineRule="auto"/>
        <w:rPr>
          <w:rFonts w:eastAsia="Times New Roman" w:cs="Times New Roman"/>
        </w:rPr>
      </w:pPr>
    </w:p>
    <w:p w:rsidR="00B8267A" w:rsidRDefault="00AA0E1B" w:rsidP="00790BF8">
      <w:pPr>
        <w:spacing w:after="0" w:line="240" w:lineRule="auto"/>
        <w:rPr>
          <w:rFonts w:eastAsia="Times New Roman" w:cs="Times New Roman"/>
        </w:rPr>
      </w:pPr>
      <w:r w:rsidRPr="00790BF8">
        <w:rPr>
          <w:rFonts w:eastAsia="Times New Roman" w:cs="Times New Roman"/>
        </w:rPr>
        <w:t xml:space="preserve">EPA currently has </w:t>
      </w:r>
      <w:r w:rsidR="00FE1C87" w:rsidRPr="00790BF8">
        <w:rPr>
          <w:rFonts w:eastAsia="Times New Roman" w:cs="Times New Roman"/>
        </w:rPr>
        <w:t xml:space="preserve">more than </w:t>
      </w:r>
      <w:r w:rsidR="004C6517" w:rsidRPr="00790BF8">
        <w:rPr>
          <w:rFonts w:eastAsia="Times New Roman" w:cs="Times New Roman"/>
        </w:rPr>
        <w:t>150 regulations</w:t>
      </w:r>
      <w:r w:rsidRPr="00790BF8">
        <w:rPr>
          <w:rFonts w:eastAsia="Times New Roman" w:cs="Times New Roman"/>
        </w:rPr>
        <w:t xml:space="preserve"> in some sta</w:t>
      </w:r>
      <w:r w:rsidR="00B8267A" w:rsidRPr="00790BF8">
        <w:rPr>
          <w:rFonts w:eastAsia="Times New Roman" w:cs="Times New Roman"/>
        </w:rPr>
        <w:t>ge of development. In the coming month</w:t>
      </w:r>
      <w:r w:rsidR="00B94F88">
        <w:rPr>
          <w:rFonts w:eastAsia="Times New Roman" w:cs="Times New Roman"/>
        </w:rPr>
        <w:t>s, AGC will be closely tracking</w:t>
      </w:r>
      <w:r w:rsidR="00843DDB">
        <w:rPr>
          <w:rFonts w:eastAsia="Times New Roman" w:cs="Times New Roman"/>
        </w:rPr>
        <w:t xml:space="preserve"> and</w:t>
      </w:r>
      <w:r w:rsidR="00B94F88">
        <w:rPr>
          <w:rFonts w:eastAsia="Times New Roman" w:cs="Times New Roman"/>
        </w:rPr>
        <w:t>/</w:t>
      </w:r>
      <w:r w:rsidR="00843DDB">
        <w:rPr>
          <w:rFonts w:eastAsia="Times New Roman" w:cs="Times New Roman"/>
        </w:rPr>
        <w:t xml:space="preserve">or </w:t>
      </w:r>
      <w:r w:rsidR="004700F5" w:rsidRPr="00790BF8">
        <w:rPr>
          <w:rFonts w:eastAsia="Times New Roman" w:cs="Times New Roman"/>
        </w:rPr>
        <w:t xml:space="preserve">reporting on </w:t>
      </w:r>
      <w:r w:rsidR="00B94F88">
        <w:rPr>
          <w:rFonts w:eastAsia="Times New Roman" w:cs="Times New Roman"/>
        </w:rPr>
        <w:t xml:space="preserve">dozens of </w:t>
      </w:r>
      <w:r w:rsidR="004700F5" w:rsidRPr="00790BF8">
        <w:rPr>
          <w:rFonts w:eastAsia="Times New Roman" w:cs="Times New Roman"/>
        </w:rPr>
        <w:t>anticipated actions</w:t>
      </w:r>
      <w:r w:rsidR="00B94F88">
        <w:rPr>
          <w:rFonts w:eastAsia="Times New Roman" w:cs="Times New Roman"/>
        </w:rPr>
        <w:t xml:space="preserve">. Below are summaries of EPA actions with a </w:t>
      </w:r>
      <w:r w:rsidR="00843DDB">
        <w:rPr>
          <w:rFonts w:eastAsia="Times New Roman" w:cs="Times New Roman"/>
        </w:rPr>
        <w:t xml:space="preserve">potentially </w:t>
      </w:r>
      <w:r w:rsidR="00B94F88">
        <w:rPr>
          <w:rFonts w:eastAsia="Times New Roman" w:cs="Times New Roman"/>
        </w:rPr>
        <w:t xml:space="preserve">significant or direct impact on construction activities.  </w:t>
      </w:r>
    </w:p>
    <w:p w:rsidR="00790BF8" w:rsidRPr="00790BF8" w:rsidRDefault="00790BF8" w:rsidP="00790BF8">
      <w:pPr>
        <w:spacing w:after="0" w:line="240" w:lineRule="auto"/>
        <w:rPr>
          <w:rFonts w:eastAsia="Times New Roman" w:cs="Times New Roman"/>
        </w:rPr>
      </w:pPr>
    </w:p>
    <w:p w:rsidR="00991A5B" w:rsidRPr="00790BF8" w:rsidRDefault="00991A5B" w:rsidP="00790BF8">
      <w:pPr>
        <w:spacing w:after="0" w:line="240" w:lineRule="auto"/>
        <w:rPr>
          <w:rFonts w:eastAsia="Times New Roman" w:cs="Times New Roman"/>
          <w:b/>
        </w:rPr>
      </w:pPr>
      <w:r w:rsidRPr="00790BF8">
        <w:rPr>
          <w:rFonts w:eastAsia="Times New Roman" w:cs="Times New Roman"/>
          <w:b/>
        </w:rPr>
        <w:t>Water &amp; Wetlands</w:t>
      </w:r>
    </w:p>
    <w:p w:rsidR="00790BF8" w:rsidRPr="00790BF8" w:rsidRDefault="00790BF8" w:rsidP="00790BF8">
      <w:pPr>
        <w:spacing w:after="0" w:line="240" w:lineRule="auto"/>
        <w:rPr>
          <w:rFonts w:eastAsia="Times New Roman" w:cs="Times New Roman"/>
        </w:rPr>
      </w:pPr>
    </w:p>
    <w:p w:rsidR="00790BF8" w:rsidRPr="00DD0723" w:rsidRDefault="004700F5" w:rsidP="00035BFB">
      <w:pPr>
        <w:pStyle w:val="NoSpacing"/>
        <w:numPr>
          <w:ilvl w:val="0"/>
          <w:numId w:val="11"/>
        </w:numPr>
        <w:rPr>
          <w:rFonts w:eastAsia="Times New Roman"/>
        </w:rPr>
      </w:pPr>
      <w:r w:rsidRPr="00DD0723">
        <w:rPr>
          <w:rFonts w:asciiTheme="minorHAnsi" w:eastAsia="Times New Roman" w:hAnsiTheme="minorHAnsi"/>
          <w:b/>
        </w:rPr>
        <w:t>Remov</w:t>
      </w:r>
      <w:r w:rsidR="00FE7A3A">
        <w:rPr>
          <w:rFonts w:asciiTheme="minorHAnsi" w:eastAsia="Times New Roman" w:hAnsiTheme="minorHAnsi"/>
          <w:b/>
        </w:rPr>
        <w:t>e t</w:t>
      </w:r>
      <w:r w:rsidR="00FF6696" w:rsidRPr="00DD0723">
        <w:rPr>
          <w:rFonts w:asciiTheme="minorHAnsi" w:eastAsia="Times New Roman" w:hAnsiTheme="minorHAnsi"/>
          <w:b/>
        </w:rPr>
        <w:t xml:space="preserve">he </w:t>
      </w:r>
      <w:hyperlink r:id="rId6" w:history="1">
        <w:r w:rsidR="00FF6696" w:rsidRPr="00DD0723">
          <w:rPr>
            <w:rStyle w:val="Hyperlink"/>
            <w:rFonts w:asciiTheme="minorHAnsi" w:eastAsia="Times New Roman" w:hAnsiTheme="minorHAnsi"/>
            <w:b/>
          </w:rPr>
          <w:t xml:space="preserve">nationwide </w:t>
        </w:r>
        <w:r w:rsidR="00790BF8" w:rsidRPr="00DD0723">
          <w:rPr>
            <w:rStyle w:val="Hyperlink"/>
            <w:rFonts w:asciiTheme="minorHAnsi" w:eastAsia="Times New Roman" w:hAnsiTheme="minorHAnsi"/>
            <w:b/>
          </w:rPr>
          <w:t>t</w:t>
        </w:r>
        <w:r w:rsidRPr="00DD0723">
          <w:rPr>
            <w:rStyle w:val="Hyperlink"/>
            <w:rFonts w:asciiTheme="minorHAnsi" w:eastAsia="Times New Roman" w:hAnsiTheme="minorHAnsi"/>
            <w:b/>
          </w:rPr>
          <w:t xml:space="preserve">urbidity </w:t>
        </w:r>
        <w:r w:rsidR="00790BF8" w:rsidRPr="00DD0723">
          <w:rPr>
            <w:rStyle w:val="Hyperlink"/>
            <w:rFonts w:asciiTheme="minorHAnsi" w:eastAsia="Times New Roman" w:hAnsiTheme="minorHAnsi"/>
            <w:b/>
          </w:rPr>
          <w:t>l</w:t>
        </w:r>
        <w:r w:rsidRPr="00DD0723">
          <w:rPr>
            <w:rStyle w:val="Hyperlink"/>
            <w:rFonts w:asciiTheme="minorHAnsi" w:eastAsia="Times New Roman" w:hAnsiTheme="minorHAnsi"/>
            <w:b/>
          </w:rPr>
          <w:t>imit</w:t>
        </w:r>
        <w:r w:rsidR="00FF6696" w:rsidRPr="00DD0723">
          <w:rPr>
            <w:rStyle w:val="Hyperlink"/>
            <w:rFonts w:asciiTheme="minorHAnsi" w:eastAsia="Times New Roman" w:hAnsiTheme="minorHAnsi"/>
            <w:b/>
          </w:rPr>
          <w:t xml:space="preserve"> on construction stormwater runoff</w:t>
        </w:r>
      </w:hyperlink>
      <w:r w:rsidR="00FF6696" w:rsidRPr="00DD0723">
        <w:rPr>
          <w:rFonts w:asciiTheme="minorHAnsi" w:eastAsia="Times New Roman" w:hAnsiTheme="minorHAnsi"/>
          <w:b/>
        </w:rPr>
        <w:t xml:space="preserve"> (final rule signed </w:t>
      </w:r>
      <w:r w:rsidR="00790BF8" w:rsidRPr="00DD0723">
        <w:rPr>
          <w:rFonts w:asciiTheme="minorHAnsi" w:eastAsia="Times New Roman" w:hAnsiTheme="minorHAnsi"/>
          <w:b/>
        </w:rPr>
        <w:t xml:space="preserve">Feb. 21, publication </w:t>
      </w:r>
      <w:r w:rsidR="00A9120C">
        <w:rPr>
          <w:rFonts w:asciiTheme="minorHAnsi" w:eastAsia="Times New Roman" w:hAnsiTheme="minorHAnsi"/>
          <w:b/>
        </w:rPr>
        <w:t xml:space="preserve">in </w:t>
      </w:r>
      <w:r w:rsidR="00A9120C" w:rsidRPr="00A9120C">
        <w:rPr>
          <w:rFonts w:asciiTheme="minorHAnsi" w:eastAsia="Times New Roman" w:hAnsiTheme="minorHAnsi"/>
          <w:b/>
          <w:i/>
        </w:rPr>
        <w:t>Federal Register</w:t>
      </w:r>
      <w:r w:rsidR="00A9120C">
        <w:rPr>
          <w:rFonts w:asciiTheme="minorHAnsi" w:eastAsia="Times New Roman" w:hAnsiTheme="minorHAnsi"/>
          <w:b/>
        </w:rPr>
        <w:t xml:space="preserve"> soon</w:t>
      </w:r>
      <w:r w:rsidR="00FF6696" w:rsidRPr="00DD0723">
        <w:rPr>
          <w:rFonts w:asciiTheme="minorHAnsi" w:eastAsia="Times New Roman" w:hAnsiTheme="minorHAnsi"/>
          <w:b/>
        </w:rPr>
        <w:t xml:space="preserve">). </w:t>
      </w:r>
      <w:r w:rsidR="00FF6696" w:rsidRPr="00DD0723">
        <w:rPr>
          <w:rFonts w:asciiTheme="minorHAnsi" w:eastAsia="Times New Roman" w:hAnsiTheme="minorHAnsi"/>
        </w:rPr>
        <w:t xml:space="preserve"> </w:t>
      </w:r>
      <w:r w:rsidR="00FF6696" w:rsidRPr="00DD0723">
        <w:rPr>
          <w:rFonts w:asciiTheme="minorHAnsi" w:hAnsiTheme="minorHAnsi"/>
          <w:color w:val="000000"/>
        </w:rPr>
        <w:t>In 2009, EPA promulgated the Effluent Limitations Guidelines and Standards for the Construction and Development Point Source Category</w:t>
      </w:r>
      <w:r w:rsidR="00790BF8" w:rsidRPr="00DD0723">
        <w:rPr>
          <w:rFonts w:asciiTheme="minorHAnsi" w:hAnsiTheme="minorHAnsi"/>
          <w:color w:val="000000"/>
        </w:rPr>
        <w:t xml:space="preserve"> (C&amp;D ELG)</w:t>
      </w:r>
      <w:r w:rsidR="00FF6696" w:rsidRPr="00DD0723">
        <w:rPr>
          <w:rFonts w:asciiTheme="minorHAnsi" w:hAnsiTheme="minorHAnsi"/>
          <w:color w:val="000000"/>
        </w:rPr>
        <w:t xml:space="preserve">, which </w:t>
      </w:r>
      <w:r w:rsidR="0029024C">
        <w:rPr>
          <w:rFonts w:asciiTheme="minorHAnsi" w:hAnsiTheme="minorHAnsi"/>
          <w:color w:val="000000"/>
        </w:rPr>
        <w:t>directs permitting authorities to r</w:t>
      </w:r>
      <w:r w:rsidR="00790BF8" w:rsidRPr="00DD0723">
        <w:rPr>
          <w:rFonts w:asciiTheme="minorHAnsi" w:hAnsiTheme="minorHAnsi"/>
          <w:color w:val="000000"/>
        </w:rPr>
        <w:t>equire</w:t>
      </w:r>
      <w:r w:rsidR="00FF6696" w:rsidRPr="00DD0723">
        <w:rPr>
          <w:rFonts w:asciiTheme="minorHAnsi" w:hAnsiTheme="minorHAnsi"/>
          <w:color w:val="000000"/>
        </w:rPr>
        <w:t xml:space="preserve"> operators of construction sites to employ </w:t>
      </w:r>
      <w:r w:rsidR="0029024C">
        <w:rPr>
          <w:rFonts w:asciiTheme="minorHAnsi" w:hAnsiTheme="minorHAnsi"/>
          <w:color w:val="000000"/>
        </w:rPr>
        <w:t>certain best management practices (BMPs)</w:t>
      </w:r>
      <w:r w:rsidR="001E1EF0">
        <w:rPr>
          <w:rFonts w:asciiTheme="minorHAnsi" w:hAnsiTheme="minorHAnsi"/>
          <w:color w:val="000000"/>
        </w:rPr>
        <w:t xml:space="preserve">, </w:t>
      </w:r>
      <w:r w:rsidR="001A54C8" w:rsidRPr="00DD0723">
        <w:rPr>
          <w:rFonts w:asciiTheme="minorHAnsi" w:hAnsiTheme="minorHAnsi"/>
          <w:i/>
          <w:color w:val="000000"/>
        </w:rPr>
        <w:t>a</w:t>
      </w:r>
      <w:r w:rsidR="0029024C">
        <w:rPr>
          <w:rFonts w:asciiTheme="minorHAnsi" w:hAnsiTheme="minorHAnsi"/>
          <w:i/>
          <w:color w:val="000000"/>
        </w:rPr>
        <w:t>s</w:t>
      </w:r>
      <w:r w:rsidR="001A54C8" w:rsidRPr="00DD0723">
        <w:rPr>
          <w:rFonts w:asciiTheme="minorHAnsi" w:hAnsiTheme="minorHAnsi"/>
          <w:i/>
          <w:color w:val="000000"/>
        </w:rPr>
        <w:t xml:space="preserve"> a bare minimum</w:t>
      </w:r>
      <w:r w:rsidR="001E1EF0">
        <w:rPr>
          <w:rFonts w:asciiTheme="minorHAnsi" w:hAnsiTheme="minorHAnsi"/>
          <w:i/>
          <w:color w:val="000000"/>
        </w:rPr>
        <w:t>,</w:t>
      </w:r>
      <w:r w:rsidR="001A54C8" w:rsidRPr="00DD0723">
        <w:rPr>
          <w:rFonts w:asciiTheme="minorHAnsi" w:hAnsiTheme="minorHAnsi"/>
          <w:color w:val="000000"/>
        </w:rPr>
        <w:t xml:space="preserve"> </w:t>
      </w:r>
      <w:r w:rsidR="0029024C">
        <w:rPr>
          <w:rFonts w:asciiTheme="minorHAnsi" w:hAnsiTheme="minorHAnsi"/>
          <w:color w:val="000000"/>
        </w:rPr>
        <w:t xml:space="preserve">to control </w:t>
      </w:r>
      <w:proofErr w:type="spellStart"/>
      <w:r w:rsidR="0029024C">
        <w:rPr>
          <w:rFonts w:asciiTheme="minorHAnsi" w:hAnsiTheme="minorHAnsi"/>
          <w:color w:val="000000"/>
        </w:rPr>
        <w:t>stormwater</w:t>
      </w:r>
      <w:proofErr w:type="spellEnd"/>
      <w:r w:rsidR="0029024C">
        <w:rPr>
          <w:rFonts w:asciiTheme="minorHAnsi" w:hAnsiTheme="minorHAnsi"/>
          <w:color w:val="000000"/>
        </w:rPr>
        <w:t xml:space="preserve"> </w:t>
      </w:r>
      <w:r w:rsidR="00FF6696" w:rsidRPr="00DD0723">
        <w:rPr>
          <w:rFonts w:asciiTheme="minorHAnsi" w:hAnsiTheme="minorHAnsi"/>
          <w:color w:val="000000"/>
        </w:rPr>
        <w:t xml:space="preserve">during active construction.  </w:t>
      </w:r>
      <w:r w:rsidR="0029024C">
        <w:rPr>
          <w:rFonts w:asciiTheme="minorHAnsi" w:hAnsiTheme="minorHAnsi"/>
          <w:color w:val="000000"/>
        </w:rPr>
        <w:t>I</w:t>
      </w:r>
      <w:r w:rsidR="00FF6696" w:rsidRPr="00DD0723">
        <w:rPr>
          <w:rFonts w:asciiTheme="minorHAnsi" w:hAnsiTheme="minorHAnsi"/>
          <w:color w:val="000000"/>
        </w:rPr>
        <w:t>ndustry petitioners challenged the</w:t>
      </w:r>
      <w:r w:rsidR="0029024C">
        <w:rPr>
          <w:rFonts w:asciiTheme="minorHAnsi" w:hAnsiTheme="minorHAnsi"/>
          <w:color w:val="000000"/>
        </w:rPr>
        <w:t xml:space="preserve"> final rule – particularly, the </w:t>
      </w:r>
      <w:r w:rsidR="00FF6696" w:rsidRPr="00DD0723">
        <w:rPr>
          <w:rFonts w:asciiTheme="minorHAnsi" w:hAnsiTheme="minorHAnsi"/>
          <w:color w:val="000000"/>
        </w:rPr>
        <w:t>numeric limitation on the allowable level of turbidity of stormwater discharges from certain construction sites</w:t>
      </w:r>
      <w:r w:rsidR="001A54C8" w:rsidRPr="00DD0723">
        <w:rPr>
          <w:rFonts w:asciiTheme="minorHAnsi" w:hAnsiTheme="minorHAnsi"/>
          <w:color w:val="000000"/>
        </w:rPr>
        <w:t xml:space="preserve"> </w:t>
      </w:r>
      <w:r w:rsidR="0029024C">
        <w:rPr>
          <w:rFonts w:asciiTheme="minorHAnsi" w:hAnsiTheme="minorHAnsi"/>
          <w:color w:val="000000"/>
        </w:rPr>
        <w:t>(</w:t>
      </w:r>
      <w:r w:rsidR="001A54C8" w:rsidRPr="00DD0723">
        <w:rPr>
          <w:rFonts w:asciiTheme="minorHAnsi" w:hAnsiTheme="minorHAnsi"/>
          <w:color w:val="000000"/>
        </w:rPr>
        <w:t>and related monitoring requirements</w:t>
      </w:r>
      <w:r w:rsidR="0029024C">
        <w:rPr>
          <w:rFonts w:asciiTheme="minorHAnsi" w:hAnsiTheme="minorHAnsi"/>
          <w:color w:val="000000"/>
        </w:rPr>
        <w:t>)</w:t>
      </w:r>
      <w:r w:rsidR="00FF6696" w:rsidRPr="00DD0723">
        <w:rPr>
          <w:rFonts w:asciiTheme="minorHAnsi" w:hAnsiTheme="minorHAnsi"/>
          <w:color w:val="000000"/>
        </w:rPr>
        <w:t xml:space="preserve">, culminating in litigation consolidated before the Seventh Circuit.  </w:t>
      </w:r>
      <w:hyperlink r:id="rId7" w:history="1">
        <w:r w:rsidR="001A54C8" w:rsidRPr="00DD0723">
          <w:rPr>
            <w:rStyle w:val="Strong"/>
            <w:rFonts w:asciiTheme="minorHAnsi" w:hAnsiTheme="minorHAnsi"/>
            <w:color w:val="275A70"/>
            <w:u w:val="single"/>
          </w:rPr>
          <w:t>As previously reported</w:t>
        </w:r>
      </w:hyperlink>
      <w:r w:rsidR="001A54C8" w:rsidRPr="00DD0723">
        <w:rPr>
          <w:rFonts w:asciiTheme="minorHAnsi" w:hAnsiTheme="minorHAnsi"/>
        </w:rPr>
        <w:t xml:space="preserve">, </w:t>
      </w:r>
      <w:r w:rsidR="00DD0723" w:rsidRPr="00DD0723">
        <w:rPr>
          <w:rFonts w:asciiTheme="minorHAnsi" w:hAnsiTheme="minorHAnsi"/>
        </w:rPr>
        <w:t xml:space="preserve">to resolve the lawsuit, EPA committed to </w:t>
      </w:r>
      <w:r w:rsidR="001A54C8" w:rsidRPr="00DD0723">
        <w:rPr>
          <w:rFonts w:asciiTheme="minorHAnsi" w:hAnsiTheme="minorHAnsi"/>
        </w:rPr>
        <w:t xml:space="preserve">withdraw the </w:t>
      </w:r>
      <w:r w:rsidR="0029024C">
        <w:rPr>
          <w:rFonts w:asciiTheme="minorHAnsi" w:hAnsiTheme="minorHAnsi"/>
        </w:rPr>
        <w:t>turbidity</w:t>
      </w:r>
      <w:r w:rsidR="001A54C8" w:rsidRPr="00DD0723">
        <w:rPr>
          <w:rFonts w:asciiTheme="minorHAnsi" w:hAnsiTheme="minorHAnsi"/>
        </w:rPr>
        <w:t xml:space="preserve"> limit</w:t>
      </w:r>
      <w:r w:rsidR="00790BF8" w:rsidRPr="00DD0723">
        <w:rPr>
          <w:rFonts w:asciiTheme="minorHAnsi" w:hAnsiTheme="minorHAnsi"/>
        </w:rPr>
        <w:t xml:space="preserve"> and to revise certain aspects of the non-numeric BMP requirements</w:t>
      </w:r>
      <w:r w:rsidR="001A54C8" w:rsidRPr="00DD0723">
        <w:rPr>
          <w:rFonts w:asciiTheme="minorHAnsi" w:hAnsiTheme="minorHAnsi"/>
        </w:rPr>
        <w:t xml:space="preserve">. </w:t>
      </w:r>
      <w:r w:rsidR="00790BF8" w:rsidRPr="00DD0723">
        <w:rPr>
          <w:rFonts w:asciiTheme="minorHAnsi" w:hAnsiTheme="minorHAnsi"/>
        </w:rPr>
        <w:t xml:space="preserve"> </w:t>
      </w:r>
      <w:r w:rsidR="0029024C">
        <w:rPr>
          <w:rFonts w:asciiTheme="minorHAnsi" w:hAnsiTheme="minorHAnsi"/>
        </w:rPr>
        <w:t xml:space="preserve">EPA proposed such actions in April 2013.  AGC filed supporting </w:t>
      </w:r>
      <w:hyperlink r:id="rId8" w:history="1">
        <w:r w:rsidR="00DD0723" w:rsidRPr="00843DDB">
          <w:rPr>
            <w:rStyle w:val="Hyperlink"/>
            <w:rFonts w:asciiTheme="minorHAnsi" w:hAnsiTheme="minorHAnsi"/>
            <w:b/>
          </w:rPr>
          <w:t>comments</w:t>
        </w:r>
      </w:hyperlink>
      <w:r w:rsidR="0029024C">
        <w:t xml:space="preserve">, but prior to that, AGC </w:t>
      </w:r>
      <w:r w:rsidR="0029024C">
        <w:rPr>
          <w:rFonts w:asciiTheme="minorHAnsi" w:hAnsiTheme="minorHAnsi"/>
        </w:rPr>
        <w:t xml:space="preserve">also </w:t>
      </w:r>
      <w:r w:rsidR="00035BFB">
        <w:rPr>
          <w:rFonts w:asciiTheme="minorHAnsi" w:hAnsiTheme="minorHAnsi"/>
        </w:rPr>
        <w:t xml:space="preserve">took significant steps to ensure that </w:t>
      </w:r>
      <w:hyperlink r:id="rId9" w:history="1">
        <w:r w:rsidR="00035BFB" w:rsidRPr="00843DDB">
          <w:rPr>
            <w:rStyle w:val="Hyperlink"/>
            <w:rFonts w:asciiTheme="minorHAnsi" w:hAnsiTheme="minorHAnsi"/>
            <w:b/>
          </w:rPr>
          <w:t>EPA’s 2012 Construction General Permit</w:t>
        </w:r>
      </w:hyperlink>
      <w:r w:rsidR="00035BFB">
        <w:rPr>
          <w:rFonts w:asciiTheme="minorHAnsi" w:hAnsiTheme="minorHAnsi"/>
        </w:rPr>
        <w:t xml:space="preserve"> did not include any limits or discharge monitoring requirements</w:t>
      </w:r>
      <w:r w:rsidR="00DD0723" w:rsidRPr="00DD0723">
        <w:rPr>
          <w:rFonts w:asciiTheme="minorHAnsi" w:hAnsiTheme="minorHAnsi"/>
        </w:rPr>
        <w:t xml:space="preserve">.  </w:t>
      </w:r>
      <w:r w:rsidR="00DD0723">
        <w:rPr>
          <w:rFonts w:asciiTheme="minorHAnsi" w:hAnsiTheme="minorHAnsi"/>
        </w:rPr>
        <w:t>W</w:t>
      </w:r>
      <w:r w:rsidR="001A54C8" w:rsidRPr="00DD0723">
        <w:rPr>
          <w:rFonts w:asciiTheme="minorHAnsi" w:hAnsiTheme="minorHAnsi"/>
        </w:rPr>
        <w:t xml:space="preserve">hile not a named party in the case, AGC has been heavily involved in EPA’s efforts to develop appropriate controls for construction site stormwater runoff for more than 15 years. </w:t>
      </w:r>
      <w:r w:rsidR="00790BF8" w:rsidRPr="00DD0723">
        <w:rPr>
          <w:rFonts w:asciiTheme="minorHAnsi" w:hAnsiTheme="minorHAnsi"/>
        </w:rPr>
        <w:t xml:space="preserve"> </w:t>
      </w:r>
    </w:p>
    <w:p w:rsidR="00DD0723" w:rsidRPr="00DD0723" w:rsidRDefault="00DD0723" w:rsidP="00DD0723">
      <w:pPr>
        <w:pStyle w:val="NoSpacing"/>
        <w:rPr>
          <w:rFonts w:eastAsia="Times New Roman"/>
        </w:rPr>
      </w:pPr>
    </w:p>
    <w:p w:rsidR="00035BFB" w:rsidRPr="00790BF8" w:rsidRDefault="00035BFB" w:rsidP="00035BFB">
      <w:pPr>
        <w:pStyle w:val="NoSpacing"/>
        <w:numPr>
          <w:ilvl w:val="0"/>
          <w:numId w:val="9"/>
        </w:numPr>
        <w:rPr>
          <w:rFonts w:asciiTheme="minorHAnsi" w:eastAsia="Times New Roman" w:hAnsiTheme="minorHAnsi"/>
          <w:bCs/>
        </w:rPr>
      </w:pPr>
      <w:r w:rsidRPr="00790BF8">
        <w:rPr>
          <w:rFonts w:asciiTheme="minorHAnsi" w:eastAsia="Times New Roman" w:hAnsiTheme="minorHAnsi"/>
          <w:b/>
        </w:rPr>
        <w:t>Reiss</w:t>
      </w:r>
      <w:r w:rsidR="00FE7A3A">
        <w:rPr>
          <w:rFonts w:asciiTheme="minorHAnsi" w:eastAsia="Times New Roman" w:hAnsiTheme="minorHAnsi"/>
          <w:b/>
        </w:rPr>
        <w:t xml:space="preserve">ue </w:t>
      </w:r>
      <w:hyperlink r:id="rId10" w:history="1">
        <w:r w:rsidRPr="00790BF8">
          <w:rPr>
            <w:rStyle w:val="Hyperlink"/>
            <w:rFonts w:asciiTheme="minorHAnsi" w:eastAsia="Times New Roman" w:hAnsiTheme="minorHAnsi"/>
            <w:b/>
          </w:rPr>
          <w:t>EPA’s Multi-sector General Permit</w:t>
        </w:r>
      </w:hyperlink>
      <w:r w:rsidRPr="00790BF8">
        <w:rPr>
          <w:rFonts w:asciiTheme="minorHAnsi" w:eastAsia="Times New Roman" w:hAnsiTheme="minorHAnsi"/>
          <w:b/>
        </w:rPr>
        <w:t xml:space="preserve"> </w:t>
      </w:r>
      <w:r w:rsidR="00B94F88">
        <w:rPr>
          <w:rFonts w:asciiTheme="minorHAnsi" w:eastAsia="Times New Roman" w:hAnsiTheme="minorHAnsi"/>
          <w:b/>
        </w:rPr>
        <w:t xml:space="preserve">(MSGP) </w:t>
      </w:r>
      <w:r w:rsidR="00BF2570">
        <w:rPr>
          <w:rFonts w:asciiTheme="minorHAnsi" w:eastAsia="Times New Roman" w:hAnsiTheme="minorHAnsi"/>
          <w:b/>
        </w:rPr>
        <w:t>(</w:t>
      </w:r>
      <w:r w:rsidR="00D23574">
        <w:rPr>
          <w:rFonts w:asciiTheme="minorHAnsi" w:eastAsia="Times New Roman" w:hAnsiTheme="minorHAnsi"/>
          <w:b/>
        </w:rPr>
        <w:t xml:space="preserve">final permit </w:t>
      </w:r>
      <w:r w:rsidR="00A9120C">
        <w:rPr>
          <w:rFonts w:asciiTheme="minorHAnsi" w:eastAsia="Times New Roman" w:hAnsiTheme="minorHAnsi"/>
          <w:b/>
        </w:rPr>
        <w:t>expected in the</w:t>
      </w:r>
      <w:r w:rsidR="00BF2570">
        <w:rPr>
          <w:rFonts w:asciiTheme="minorHAnsi" w:eastAsia="Times New Roman" w:hAnsiTheme="minorHAnsi"/>
          <w:b/>
        </w:rPr>
        <w:t xml:space="preserve"> s</w:t>
      </w:r>
      <w:r w:rsidRPr="00790BF8">
        <w:rPr>
          <w:rFonts w:asciiTheme="minorHAnsi" w:eastAsia="Times New Roman" w:hAnsiTheme="minorHAnsi"/>
          <w:b/>
        </w:rPr>
        <w:t xml:space="preserve">pring </w:t>
      </w:r>
      <w:r w:rsidR="00BF2570">
        <w:rPr>
          <w:rFonts w:asciiTheme="minorHAnsi" w:eastAsia="Times New Roman" w:hAnsiTheme="minorHAnsi"/>
          <w:b/>
        </w:rPr>
        <w:t xml:space="preserve">of </w:t>
      </w:r>
      <w:r w:rsidRPr="00790BF8">
        <w:rPr>
          <w:rFonts w:asciiTheme="minorHAnsi" w:eastAsia="Times New Roman" w:hAnsiTheme="minorHAnsi"/>
          <w:b/>
        </w:rPr>
        <w:t>2014</w:t>
      </w:r>
      <w:r w:rsidR="00BF2570">
        <w:rPr>
          <w:rFonts w:asciiTheme="minorHAnsi" w:eastAsia="Times New Roman" w:hAnsiTheme="minorHAnsi"/>
          <w:b/>
        </w:rPr>
        <w:t>)</w:t>
      </w:r>
      <w:r w:rsidRPr="00790BF8">
        <w:rPr>
          <w:rFonts w:asciiTheme="minorHAnsi" w:eastAsia="Times New Roman" w:hAnsiTheme="minorHAnsi"/>
          <w:b/>
        </w:rPr>
        <w:t xml:space="preserve">.  </w:t>
      </w:r>
      <w:r w:rsidRPr="00790BF8">
        <w:rPr>
          <w:rFonts w:asciiTheme="minorHAnsi" w:hAnsiTheme="minorHAnsi"/>
        </w:rPr>
        <w:t xml:space="preserve">Construction companies that perform activities associated with cement or concrete manufacturing, asphalt paving, minerals mining, or landfill operations will all likely be impacted by </w:t>
      </w:r>
      <w:r>
        <w:rPr>
          <w:rFonts w:asciiTheme="minorHAnsi" w:hAnsiTheme="minorHAnsi"/>
        </w:rPr>
        <w:t xml:space="preserve">upcoming </w:t>
      </w:r>
      <w:r w:rsidRPr="00790BF8">
        <w:rPr>
          <w:rFonts w:asciiTheme="minorHAnsi" w:hAnsiTheme="minorHAnsi"/>
        </w:rPr>
        <w:t xml:space="preserve">changes to EPA’s MSGP.  AGC recently submitted </w:t>
      </w:r>
      <w:hyperlink r:id="rId11" w:history="1">
        <w:r w:rsidRPr="00843DDB">
          <w:rPr>
            <w:rStyle w:val="Hyperlink"/>
            <w:rFonts w:asciiTheme="minorHAnsi" w:hAnsiTheme="minorHAnsi"/>
            <w:b/>
          </w:rPr>
          <w:t>commen</w:t>
        </w:r>
        <w:r w:rsidR="00B94F88" w:rsidRPr="00843DDB">
          <w:rPr>
            <w:rStyle w:val="Hyperlink"/>
            <w:rFonts w:asciiTheme="minorHAnsi" w:hAnsiTheme="minorHAnsi"/>
            <w:b/>
          </w:rPr>
          <w:t>ts</w:t>
        </w:r>
      </w:hyperlink>
      <w:r w:rsidRPr="00790BF8">
        <w:rPr>
          <w:rFonts w:asciiTheme="minorHAnsi" w:hAnsiTheme="minorHAnsi"/>
        </w:rPr>
        <w:t xml:space="preserve"> on</w:t>
      </w:r>
      <w:r w:rsidR="00B94F88">
        <w:rPr>
          <w:rFonts w:asciiTheme="minorHAnsi" w:hAnsiTheme="minorHAnsi"/>
        </w:rPr>
        <w:t xml:space="preserve"> EPA’s</w:t>
      </w:r>
      <w:r w:rsidRPr="00790BF8">
        <w:rPr>
          <w:rFonts w:asciiTheme="minorHAnsi" w:hAnsiTheme="minorHAnsi"/>
        </w:rPr>
        <w:t xml:space="preserve"> proposed draft permit.  Once re-issued, EPA’s MSGP will be directly applicable in all or part of ten states and the District of Columbia, on Indian lands, and in some territories. It will also serve as a model for other state-issued general permits, as it is looked to and cited by water regulatory agencies as an authority on EPA’s industrial stormwater permitting strategy.</w:t>
      </w:r>
      <w:r w:rsidRPr="00790BF8">
        <w:rPr>
          <w:rFonts w:asciiTheme="minorHAnsi" w:eastAsia="Times New Roman" w:hAnsiTheme="minorHAnsi"/>
        </w:rPr>
        <w:t xml:space="preserve"> </w:t>
      </w:r>
      <w:r w:rsidRPr="00790BF8">
        <w:rPr>
          <w:rFonts w:asciiTheme="minorHAnsi" w:hAnsiTheme="minorHAnsi" w:cs="Helvetica"/>
        </w:rPr>
        <w:t>(A separate Construction General Permit is the legal mechanism to authorize stormwater discharges from active construction sites that disturb one acre or more of land.)</w:t>
      </w:r>
    </w:p>
    <w:p w:rsidR="00035BFB" w:rsidRDefault="00035BFB" w:rsidP="00790BF8">
      <w:pPr>
        <w:rPr>
          <w:rFonts w:eastAsia="Times New Roman" w:cs="Times New Roman"/>
        </w:rPr>
      </w:pPr>
    </w:p>
    <w:p w:rsidR="00DB7F1D" w:rsidRPr="00DB7F1D" w:rsidRDefault="00A9120C" w:rsidP="00DB7F1D">
      <w:pPr>
        <w:pStyle w:val="NoSpacing"/>
        <w:numPr>
          <w:ilvl w:val="0"/>
          <w:numId w:val="9"/>
        </w:numPr>
        <w:rPr>
          <w:rFonts w:asciiTheme="minorHAnsi" w:eastAsia="Times New Roman" w:hAnsiTheme="minorHAnsi"/>
        </w:rPr>
      </w:pPr>
      <w:r w:rsidRPr="00DB7F1D">
        <w:rPr>
          <w:rFonts w:asciiTheme="minorHAnsi" w:eastAsia="Times New Roman" w:hAnsiTheme="minorHAnsi"/>
          <w:b/>
        </w:rPr>
        <w:lastRenderedPageBreak/>
        <w:t xml:space="preserve">Expand the universe of regulated stormwater discharges and, at a minimum, </w:t>
      </w:r>
      <w:hyperlink r:id="rId12" w:history="1">
        <w:r w:rsidRPr="009A3A5C">
          <w:rPr>
            <w:rStyle w:val="Hyperlink"/>
            <w:rFonts w:asciiTheme="minorHAnsi" w:eastAsia="Times New Roman" w:hAnsiTheme="minorHAnsi"/>
            <w:b/>
          </w:rPr>
          <w:t>regulate stormwater discharges from newly developed and redeveloped sites</w:t>
        </w:r>
      </w:hyperlink>
      <w:r w:rsidR="00DB7F1D" w:rsidRPr="00DB7F1D">
        <w:rPr>
          <w:rFonts w:asciiTheme="minorHAnsi" w:eastAsia="Times New Roman" w:hAnsiTheme="minorHAnsi"/>
          <w:b/>
        </w:rPr>
        <w:t xml:space="preserve"> (long-term action; local requirements </w:t>
      </w:r>
      <w:r w:rsidR="0029024C">
        <w:rPr>
          <w:rFonts w:asciiTheme="minorHAnsi" w:eastAsia="Times New Roman" w:hAnsiTheme="minorHAnsi"/>
          <w:b/>
        </w:rPr>
        <w:t xml:space="preserve">beginning to appear </w:t>
      </w:r>
      <w:r w:rsidR="00DB7F1D" w:rsidRPr="00DB7F1D">
        <w:rPr>
          <w:rFonts w:asciiTheme="minorHAnsi" w:eastAsia="Times New Roman" w:hAnsiTheme="minorHAnsi"/>
          <w:b/>
        </w:rPr>
        <w:t>in EPA’s MS4 permits)</w:t>
      </w:r>
      <w:r w:rsidRPr="00DB7F1D">
        <w:rPr>
          <w:rFonts w:asciiTheme="minorHAnsi" w:eastAsia="Times New Roman" w:hAnsiTheme="minorHAnsi"/>
          <w:b/>
        </w:rPr>
        <w:t>.</w:t>
      </w:r>
      <w:r w:rsidRPr="00DB7F1D">
        <w:rPr>
          <w:rFonts w:asciiTheme="minorHAnsi" w:eastAsia="Times New Roman" w:hAnsiTheme="minorHAnsi"/>
        </w:rPr>
        <w:t xml:space="preserve">  EPA has long regulated stormwater discharges from active construction sites but most recently has begun to focus its attention on stormwater discharges from already developed</w:t>
      </w:r>
      <w:r w:rsidR="00DB7F1D" w:rsidRPr="00DB7F1D">
        <w:rPr>
          <w:rFonts w:asciiTheme="minorHAnsi" w:eastAsia="Times New Roman" w:hAnsiTheme="minorHAnsi"/>
        </w:rPr>
        <w:t xml:space="preserve"> sites. </w:t>
      </w:r>
      <w:r w:rsidRPr="00DB7F1D">
        <w:rPr>
          <w:rFonts w:asciiTheme="minorHAnsi" w:eastAsia="Times New Roman" w:hAnsiTheme="minorHAnsi"/>
        </w:rPr>
        <w:t xml:space="preserve"> </w:t>
      </w:r>
      <w:r w:rsidR="0029024C">
        <w:rPr>
          <w:rFonts w:asciiTheme="minorHAnsi" w:eastAsia="Times New Roman" w:hAnsiTheme="minorHAnsi"/>
        </w:rPr>
        <w:t xml:space="preserve">In a 2010 settlement of </w:t>
      </w:r>
      <w:r w:rsidR="00DB7F1D" w:rsidRPr="00DB7F1D">
        <w:rPr>
          <w:rFonts w:asciiTheme="minorHAnsi" w:eastAsia="Times New Roman" w:hAnsiTheme="minorHAnsi"/>
        </w:rPr>
        <w:t>a lawsuit</w:t>
      </w:r>
      <w:r w:rsidR="0029024C">
        <w:rPr>
          <w:rFonts w:asciiTheme="minorHAnsi" w:eastAsia="Times New Roman" w:hAnsiTheme="minorHAnsi"/>
        </w:rPr>
        <w:t xml:space="preserve"> brought by the Chesapeake Bay Foundation</w:t>
      </w:r>
      <w:r w:rsidR="00790BF8" w:rsidRPr="00DB7F1D">
        <w:rPr>
          <w:rFonts w:asciiTheme="minorHAnsi" w:eastAsia="Times New Roman" w:hAnsiTheme="minorHAnsi"/>
        </w:rPr>
        <w:t xml:space="preserve">, EPA agreed to </w:t>
      </w:r>
      <w:r w:rsidRPr="00DB7F1D">
        <w:rPr>
          <w:rFonts w:asciiTheme="minorHAnsi" w:eastAsia="Times New Roman" w:hAnsiTheme="minorHAnsi"/>
        </w:rPr>
        <w:t>propose a post-</w:t>
      </w:r>
      <w:r w:rsidR="009A3A5C" w:rsidRPr="00DB7F1D">
        <w:rPr>
          <w:rFonts w:asciiTheme="minorHAnsi" w:eastAsia="Times New Roman" w:hAnsiTheme="minorHAnsi"/>
        </w:rPr>
        <w:t>construction</w:t>
      </w:r>
      <w:r w:rsidRPr="00DB7F1D">
        <w:rPr>
          <w:rFonts w:asciiTheme="minorHAnsi" w:eastAsia="Times New Roman" w:hAnsiTheme="minorHAnsi"/>
        </w:rPr>
        <w:t xml:space="preserve"> st</w:t>
      </w:r>
      <w:r w:rsidR="00DB7F1D" w:rsidRPr="00DB7F1D">
        <w:rPr>
          <w:rFonts w:asciiTheme="minorHAnsi" w:eastAsia="Times New Roman" w:hAnsiTheme="minorHAnsi"/>
        </w:rPr>
        <w:t>orm</w:t>
      </w:r>
      <w:r w:rsidRPr="00DB7F1D">
        <w:rPr>
          <w:rFonts w:asciiTheme="minorHAnsi" w:eastAsia="Times New Roman" w:hAnsiTheme="minorHAnsi"/>
        </w:rPr>
        <w:t xml:space="preserve">water rule by </w:t>
      </w:r>
      <w:r w:rsidR="00790BF8" w:rsidRPr="00DB7F1D">
        <w:rPr>
          <w:rFonts w:asciiTheme="minorHAnsi" w:eastAsia="Times New Roman" w:hAnsiTheme="minorHAnsi"/>
        </w:rPr>
        <w:t>June 2013</w:t>
      </w:r>
      <w:r w:rsidRPr="00DB7F1D">
        <w:rPr>
          <w:rFonts w:asciiTheme="minorHAnsi" w:eastAsia="Times New Roman" w:hAnsiTheme="minorHAnsi"/>
        </w:rPr>
        <w:t xml:space="preserve">; the agency has missed its deadline.  It appears that EPA has initiated a “piecemeal” approach via mandates in municipal stormwater permits that </w:t>
      </w:r>
      <w:r w:rsidR="00DB7F1D" w:rsidRPr="00DB7F1D">
        <w:rPr>
          <w:rFonts w:asciiTheme="minorHAnsi" w:eastAsia="Times New Roman" w:hAnsiTheme="minorHAnsi"/>
        </w:rPr>
        <w:t xml:space="preserve">restrict stormwater flow </w:t>
      </w:r>
      <w:r w:rsidR="0029024C">
        <w:rPr>
          <w:rFonts w:asciiTheme="minorHAnsi" w:eastAsia="Times New Roman" w:hAnsiTheme="minorHAnsi"/>
        </w:rPr>
        <w:t xml:space="preserve">and force green infrastructure techniques designed to </w:t>
      </w:r>
      <w:r w:rsidR="00DB7F1D" w:rsidRPr="00DB7F1D">
        <w:rPr>
          <w:rFonts w:asciiTheme="minorHAnsi" w:eastAsia="Times New Roman" w:hAnsiTheme="minorHAnsi"/>
        </w:rPr>
        <w:t>capture/retain runoff.</w:t>
      </w:r>
      <w:r w:rsidRPr="00DB7F1D">
        <w:rPr>
          <w:rFonts w:asciiTheme="minorHAnsi" w:eastAsia="Times New Roman" w:hAnsiTheme="minorHAnsi"/>
        </w:rPr>
        <w:t xml:space="preserve">  </w:t>
      </w:r>
      <w:r w:rsidR="00790BF8" w:rsidRPr="00DB7F1D">
        <w:rPr>
          <w:rFonts w:asciiTheme="minorHAnsi" w:eastAsia="Times New Roman" w:hAnsiTheme="minorHAnsi"/>
        </w:rPr>
        <w:t xml:space="preserve"> </w:t>
      </w:r>
      <w:r w:rsidR="00DB7F1D">
        <w:rPr>
          <w:rFonts w:asciiTheme="minorHAnsi" w:eastAsia="Times New Roman" w:hAnsiTheme="minorHAnsi"/>
        </w:rPr>
        <w:t>In related news, 10</w:t>
      </w:r>
      <w:r w:rsidR="00DB7F1D" w:rsidRPr="00DB7F1D">
        <w:rPr>
          <w:rFonts w:asciiTheme="minorHAnsi" w:eastAsia="Times New Roman" w:hAnsiTheme="minorHAnsi"/>
        </w:rPr>
        <w:t xml:space="preserve"> environmental groups have </w:t>
      </w:r>
      <w:hyperlink r:id="rId13" w:history="1">
        <w:r w:rsidR="00DB7F1D" w:rsidRPr="00843DDB">
          <w:rPr>
            <w:rStyle w:val="Hyperlink"/>
            <w:rFonts w:asciiTheme="minorHAnsi" w:eastAsia="Times New Roman" w:hAnsiTheme="minorHAnsi"/>
            <w:b/>
          </w:rPr>
          <w:t>filed legal petitions</w:t>
        </w:r>
      </w:hyperlink>
      <w:r w:rsidR="00DB7F1D" w:rsidRPr="00DB7F1D">
        <w:rPr>
          <w:rFonts w:asciiTheme="minorHAnsi" w:eastAsia="Times New Roman" w:hAnsiTheme="minorHAnsi"/>
        </w:rPr>
        <w:t xml:space="preserve"> aimed at forcing EPA to </w:t>
      </w:r>
      <w:r w:rsidR="00DB7F1D">
        <w:rPr>
          <w:rFonts w:asciiTheme="minorHAnsi" w:eastAsia="Times New Roman" w:hAnsiTheme="minorHAnsi"/>
        </w:rPr>
        <w:t xml:space="preserve">take action to </w:t>
      </w:r>
      <w:r w:rsidR="00DB7F1D" w:rsidRPr="00DB7F1D">
        <w:rPr>
          <w:rFonts w:asciiTheme="minorHAnsi" w:eastAsia="Times New Roman" w:hAnsiTheme="minorHAnsi"/>
        </w:rPr>
        <w:t>require owners to alter/retrofit their already built sites.</w:t>
      </w:r>
    </w:p>
    <w:p w:rsidR="00DB7F1D" w:rsidRDefault="00DB7F1D" w:rsidP="00DB7F1D">
      <w:pPr>
        <w:pStyle w:val="NoSpacing"/>
        <w:ind w:left="360"/>
        <w:rPr>
          <w:rFonts w:asciiTheme="minorHAnsi" w:eastAsia="Times New Roman" w:hAnsiTheme="minorHAnsi"/>
        </w:rPr>
      </w:pPr>
    </w:p>
    <w:p w:rsidR="005112EE" w:rsidRPr="005112EE" w:rsidRDefault="005112EE" w:rsidP="005112EE">
      <w:pPr>
        <w:pStyle w:val="ListParagraph"/>
        <w:numPr>
          <w:ilvl w:val="0"/>
          <w:numId w:val="9"/>
        </w:numPr>
        <w:spacing w:after="0" w:line="240" w:lineRule="auto"/>
        <w:rPr>
          <w:rFonts w:eastAsia="Times New Roman" w:cs="Arial"/>
        </w:rPr>
      </w:pPr>
      <w:r w:rsidRPr="005112EE">
        <w:rPr>
          <w:rFonts w:eastAsia="Times New Roman" w:cs="Arial"/>
          <w:b/>
        </w:rPr>
        <w:t>Revis</w:t>
      </w:r>
      <w:r w:rsidR="00FE7A3A">
        <w:rPr>
          <w:rFonts w:eastAsia="Times New Roman" w:cs="Arial"/>
          <w:b/>
        </w:rPr>
        <w:t xml:space="preserve">e the federal </w:t>
      </w:r>
      <w:r w:rsidRPr="005112EE">
        <w:rPr>
          <w:rFonts w:eastAsia="Times New Roman" w:cs="Arial"/>
          <w:b/>
        </w:rPr>
        <w:t xml:space="preserve">regulations that define the </w:t>
      </w:r>
      <w:hyperlink r:id="rId14" w:history="1">
        <w:r w:rsidRPr="000A5907">
          <w:rPr>
            <w:rStyle w:val="Hyperlink"/>
            <w:rFonts w:eastAsia="Times New Roman" w:cs="Arial"/>
            <w:b/>
          </w:rPr>
          <w:t>scope of “waters of the United States” under the Clean Water Act</w:t>
        </w:r>
      </w:hyperlink>
      <w:r w:rsidRPr="005112EE">
        <w:rPr>
          <w:rFonts w:eastAsia="Times New Roman" w:cs="Arial"/>
          <w:b/>
        </w:rPr>
        <w:t xml:space="preserve"> (CWA) (proposal possible in 2014; draft leaked to public and undergoing strict scrutiny). </w:t>
      </w:r>
      <w:r w:rsidR="00E10300">
        <w:rPr>
          <w:rFonts w:eastAsia="Times New Roman" w:cs="Arial"/>
        </w:rPr>
        <w:t xml:space="preserve"> It is anticipated that EPA and the U.S. Army Corps of Engineers soon will release a </w:t>
      </w:r>
      <w:r w:rsidRPr="005112EE">
        <w:rPr>
          <w:rFonts w:eastAsia="Times New Roman" w:cs="Arial"/>
        </w:rPr>
        <w:t xml:space="preserve">proposal </w:t>
      </w:r>
      <w:r w:rsidR="00E10300">
        <w:rPr>
          <w:rFonts w:eastAsia="Times New Roman" w:cs="Arial"/>
        </w:rPr>
        <w:t xml:space="preserve">to significantly </w:t>
      </w:r>
      <w:r w:rsidRPr="005112EE">
        <w:rPr>
          <w:rFonts w:eastAsia="Times New Roman" w:cs="Arial"/>
        </w:rPr>
        <w:t xml:space="preserve">expand the universe of streams, wetlands, and other waters subject to federal jurisdiction.  This critical definition or description will determine when the permitting, enforcement, and citizen suit regimes of the CWA are activated.  </w:t>
      </w:r>
      <w:r>
        <w:rPr>
          <w:rFonts w:eastAsia="Times New Roman" w:cs="Arial"/>
        </w:rPr>
        <w:t xml:space="preserve">AGC has </w:t>
      </w:r>
      <w:hyperlink r:id="rId15" w:history="1">
        <w:r w:rsidRPr="00843DDB">
          <w:rPr>
            <w:rStyle w:val="Hyperlink"/>
            <w:rFonts w:eastAsia="Times New Roman" w:cs="Arial"/>
            <w:b/>
          </w:rPr>
          <w:t>commented</w:t>
        </w:r>
      </w:hyperlink>
      <w:r>
        <w:rPr>
          <w:rFonts w:eastAsia="Times New Roman" w:cs="Arial"/>
        </w:rPr>
        <w:t xml:space="preserve"> that the draft rulemaking relies on a flawed economic cost/benefit analysis and fails to clarify the limits to federal control. </w:t>
      </w:r>
    </w:p>
    <w:p w:rsidR="004700F5" w:rsidRDefault="004700F5" w:rsidP="0062184A">
      <w:pPr>
        <w:pStyle w:val="NoSpacing"/>
        <w:rPr>
          <w:rFonts w:asciiTheme="minorHAnsi" w:eastAsia="Times New Roman" w:hAnsiTheme="minorHAnsi"/>
        </w:rPr>
      </w:pPr>
    </w:p>
    <w:p w:rsidR="0062184A" w:rsidRPr="00E42288" w:rsidRDefault="00E42288" w:rsidP="0062184A">
      <w:pPr>
        <w:pStyle w:val="NoSpacing"/>
        <w:numPr>
          <w:ilvl w:val="0"/>
          <w:numId w:val="9"/>
        </w:numPr>
        <w:rPr>
          <w:rFonts w:asciiTheme="minorHAnsi" w:eastAsia="Times New Roman" w:hAnsiTheme="minorHAnsi"/>
          <w:bCs/>
        </w:rPr>
      </w:pPr>
      <w:r w:rsidRPr="00E42288">
        <w:rPr>
          <w:rFonts w:asciiTheme="minorHAnsi" w:eastAsia="Times New Roman" w:hAnsiTheme="minorHAnsi"/>
          <w:b/>
        </w:rPr>
        <w:t xml:space="preserve">Finalize a new </w:t>
      </w:r>
      <w:hyperlink r:id="rId16" w:history="1">
        <w:r w:rsidR="000C752A">
          <w:rPr>
            <w:rStyle w:val="Hyperlink"/>
            <w:rFonts w:cs="Helvetica"/>
            <w:b/>
            <w:bCs/>
          </w:rPr>
          <w:t>electronic reporting r</w:t>
        </w:r>
        <w:r w:rsidRPr="00E42288">
          <w:rPr>
            <w:rStyle w:val="Hyperlink"/>
            <w:rFonts w:cs="Helvetica"/>
            <w:b/>
            <w:bCs/>
          </w:rPr>
          <w:t>ule</w:t>
        </w:r>
      </w:hyperlink>
      <w:r w:rsidRPr="00E42288">
        <w:rPr>
          <w:rFonts w:cs="Helvetica"/>
          <w:b/>
          <w:bCs/>
        </w:rPr>
        <w:t xml:space="preserve"> for companies that are required to report certain information under their </w:t>
      </w:r>
      <w:r w:rsidR="00FE7A3A" w:rsidRPr="00E42288">
        <w:rPr>
          <w:rFonts w:cs="Helvetica"/>
          <w:b/>
        </w:rPr>
        <w:t xml:space="preserve">National Pollutant Discharge Elimination System (NPDES) </w:t>
      </w:r>
      <w:r w:rsidRPr="00E42288">
        <w:rPr>
          <w:rFonts w:cs="Helvetica"/>
          <w:b/>
        </w:rPr>
        <w:t>permits</w:t>
      </w:r>
      <w:r>
        <w:rPr>
          <w:rFonts w:cs="Helvetica"/>
          <w:b/>
        </w:rPr>
        <w:t xml:space="preserve"> (</w:t>
      </w:r>
      <w:r w:rsidR="005A6EB1">
        <w:rPr>
          <w:rFonts w:cs="Helvetica"/>
          <w:b/>
        </w:rPr>
        <w:t>long-term action; expect EPA to re-propose in 2014</w:t>
      </w:r>
      <w:r>
        <w:rPr>
          <w:rFonts w:cs="Helvetica"/>
          <w:b/>
        </w:rPr>
        <w:t>)</w:t>
      </w:r>
      <w:r w:rsidRPr="00E42288">
        <w:rPr>
          <w:rFonts w:cs="Helvetica"/>
        </w:rPr>
        <w:t xml:space="preserve">.  </w:t>
      </w:r>
      <w:r w:rsidR="000C752A" w:rsidRPr="00E42288">
        <w:rPr>
          <w:rFonts w:asciiTheme="minorHAnsi" w:eastAsia="Times New Roman" w:hAnsiTheme="minorHAnsi"/>
          <w:bCs/>
        </w:rPr>
        <w:t>AGC</w:t>
      </w:r>
      <w:r w:rsidR="000C752A">
        <w:rPr>
          <w:rFonts w:asciiTheme="minorHAnsi" w:eastAsia="Times New Roman" w:hAnsiTheme="minorHAnsi"/>
          <w:bCs/>
        </w:rPr>
        <w:t xml:space="preserve"> recently submitted extensive</w:t>
      </w:r>
      <w:r w:rsidR="000C752A" w:rsidRPr="00E42288">
        <w:rPr>
          <w:rFonts w:asciiTheme="minorHAnsi" w:eastAsia="Times New Roman" w:hAnsiTheme="minorHAnsi"/>
          <w:bCs/>
        </w:rPr>
        <w:t xml:space="preserve"> </w:t>
      </w:r>
      <w:hyperlink r:id="rId17" w:history="1">
        <w:r w:rsidR="000C752A" w:rsidRPr="00843DDB">
          <w:rPr>
            <w:rStyle w:val="Hyperlink"/>
            <w:rFonts w:asciiTheme="minorHAnsi" w:eastAsia="Times New Roman" w:hAnsiTheme="minorHAnsi"/>
            <w:b/>
            <w:bCs/>
          </w:rPr>
          <w:t>comments</w:t>
        </w:r>
      </w:hyperlink>
      <w:r w:rsidR="000C752A" w:rsidRPr="00E42288">
        <w:rPr>
          <w:rFonts w:asciiTheme="minorHAnsi" w:eastAsia="Times New Roman" w:hAnsiTheme="minorHAnsi"/>
          <w:bCs/>
        </w:rPr>
        <w:t xml:space="preserve"> </w:t>
      </w:r>
      <w:r w:rsidR="000C752A">
        <w:rPr>
          <w:rFonts w:asciiTheme="minorHAnsi" w:eastAsia="Times New Roman" w:hAnsiTheme="minorHAnsi"/>
          <w:bCs/>
        </w:rPr>
        <w:t>on EPA’s July 2013 proposed rule that would require c</w:t>
      </w:r>
      <w:r w:rsidR="00FE7A3A" w:rsidRPr="00E42288">
        <w:rPr>
          <w:rFonts w:cs="Helvetica"/>
        </w:rPr>
        <w:t xml:space="preserve">onstruction site operators covered by </w:t>
      </w:r>
      <w:r w:rsidRPr="00E42288">
        <w:rPr>
          <w:rFonts w:cs="Helvetica"/>
        </w:rPr>
        <w:t>a Construction General Permit or a Multi-sector General Permit</w:t>
      </w:r>
      <w:r w:rsidR="000C752A">
        <w:rPr>
          <w:rFonts w:cs="Helvetica"/>
        </w:rPr>
        <w:t xml:space="preserve"> t</w:t>
      </w:r>
      <w:r w:rsidR="00FE7A3A" w:rsidRPr="00E42288">
        <w:rPr>
          <w:rFonts w:cs="Helvetica"/>
        </w:rPr>
        <w:t>o submit a variety of permit-related information electronically</w:t>
      </w:r>
      <w:r w:rsidR="000C752A">
        <w:rPr>
          <w:rFonts w:cs="Helvetica"/>
        </w:rPr>
        <w:t>,</w:t>
      </w:r>
      <w:r w:rsidR="00FE7A3A" w:rsidRPr="00E42288">
        <w:rPr>
          <w:rFonts w:cs="Helvetica"/>
        </w:rPr>
        <w:t xml:space="preserve"> instead of using paper reports. </w:t>
      </w:r>
      <w:r w:rsidRPr="00E42288">
        <w:rPr>
          <w:rFonts w:cs="Helvetica"/>
        </w:rPr>
        <w:t xml:space="preserve"> </w:t>
      </w:r>
      <w:r w:rsidR="000C752A">
        <w:rPr>
          <w:rFonts w:cs="Helvetica"/>
        </w:rPr>
        <w:t xml:space="preserve">AGC’s letter objects to an </w:t>
      </w:r>
      <w:proofErr w:type="spellStart"/>
      <w:r w:rsidR="000C752A">
        <w:rPr>
          <w:rFonts w:cs="Helvetica"/>
        </w:rPr>
        <w:t>eReporting</w:t>
      </w:r>
      <w:proofErr w:type="spellEnd"/>
      <w:r w:rsidR="000C752A">
        <w:rPr>
          <w:rFonts w:cs="Helvetica"/>
        </w:rPr>
        <w:t xml:space="preserve"> mandate that would </w:t>
      </w:r>
      <w:r w:rsidR="001A166D" w:rsidRPr="00E42288">
        <w:rPr>
          <w:rFonts w:asciiTheme="minorHAnsi" w:eastAsia="Times New Roman" w:hAnsiTheme="minorHAnsi"/>
          <w:bCs/>
        </w:rPr>
        <w:t>make every construction company’s stormwater permit records</w:t>
      </w:r>
      <w:r w:rsidRPr="00E42288">
        <w:rPr>
          <w:rFonts w:asciiTheme="minorHAnsi" w:eastAsia="Times New Roman" w:hAnsiTheme="minorHAnsi"/>
          <w:bCs/>
        </w:rPr>
        <w:t>, pollutant monitoring results</w:t>
      </w:r>
      <w:r w:rsidR="001A166D" w:rsidRPr="00E42288">
        <w:rPr>
          <w:rFonts w:asciiTheme="minorHAnsi" w:eastAsia="Times New Roman" w:hAnsiTheme="minorHAnsi"/>
          <w:bCs/>
        </w:rPr>
        <w:t xml:space="preserve"> and compliance history accessible to the public.</w:t>
      </w:r>
      <w:r w:rsidR="001A54C8" w:rsidRPr="00E42288">
        <w:rPr>
          <w:rFonts w:asciiTheme="minorHAnsi" w:eastAsia="Times New Roman" w:hAnsiTheme="minorHAnsi"/>
          <w:bCs/>
        </w:rPr>
        <w:t xml:space="preserve"> </w:t>
      </w:r>
    </w:p>
    <w:p w:rsidR="0062184A" w:rsidRPr="00790BF8" w:rsidRDefault="0062184A" w:rsidP="0062184A">
      <w:pPr>
        <w:pStyle w:val="NoSpacing"/>
        <w:rPr>
          <w:rFonts w:asciiTheme="minorHAnsi" w:eastAsia="Times New Roman" w:hAnsiTheme="minorHAnsi"/>
          <w:bCs/>
        </w:rPr>
      </w:pPr>
    </w:p>
    <w:p w:rsidR="00991A5B" w:rsidRPr="009A3A5C" w:rsidRDefault="00991A5B" w:rsidP="00790BF8">
      <w:pPr>
        <w:pStyle w:val="NoSpacing"/>
        <w:rPr>
          <w:rFonts w:asciiTheme="minorHAnsi" w:eastAsia="Times New Roman" w:hAnsiTheme="minorHAnsi"/>
          <w:b/>
          <w:bCs/>
        </w:rPr>
      </w:pPr>
      <w:r w:rsidRPr="009A3A5C">
        <w:rPr>
          <w:rFonts w:asciiTheme="minorHAnsi" w:eastAsia="Times New Roman" w:hAnsiTheme="minorHAnsi"/>
          <w:b/>
          <w:bCs/>
        </w:rPr>
        <w:t>Waste, Recycling &amp; Beneficial Use</w:t>
      </w:r>
    </w:p>
    <w:p w:rsidR="00790BF8" w:rsidRPr="00790BF8" w:rsidRDefault="00790BF8" w:rsidP="00790BF8">
      <w:pPr>
        <w:pStyle w:val="NoSpacing"/>
        <w:rPr>
          <w:rFonts w:asciiTheme="minorHAnsi" w:eastAsia="Times New Roman" w:hAnsiTheme="minorHAnsi"/>
          <w:bCs/>
        </w:rPr>
      </w:pPr>
    </w:p>
    <w:p w:rsidR="00BF2570" w:rsidRPr="00E76384" w:rsidRDefault="00C82174" w:rsidP="00E76384">
      <w:pPr>
        <w:pStyle w:val="ListParagraph"/>
        <w:numPr>
          <w:ilvl w:val="0"/>
          <w:numId w:val="13"/>
        </w:numPr>
        <w:spacing w:after="0" w:line="240" w:lineRule="auto"/>
        <w:rPr>
          <w:rFonts w:eastAsia="Times New Roman"/>
        </w:rPr>
      </w:pPr>
      <w:r w:rsidRPr="00E76384">
        <w:rPr>
          <w:rFonts w:eastAsia="Times New Roman"/>
          <w:b/>
        </w:rPr>
        <w:t>Finalize a rule on the</w:t>
      </w:r>
      <w:r w:rsidRPr="00E76384">
        <w:rPr>
          <w:rFonts w:eastAsia="Times New Roman" w:cs="Times New Roman"/>
          <w:b/>
        </w:rPr>
        <w:t xml:space="preserve"> management </w:t>
      </w:r>
      <w:r w:rsidR="00B94F88">
        <w:rPr>
          <w:rFonts w:eastAsia="Times New Roman" w:cs="Times New Roman"/>
          <w:b/>
        </w:rPr>
        <w:t xml:space="preserve">and disposal </w:t>
      </w:r>
      <w:r w:rsidRPr="00E76384">
        <w:rPr>
          <w:rFonts w:eastAsia="Times New Roman" w:cs="Times New Roman"/>
          <w:b/>
        </w:rPr>
        <w:t>of coal combustion residuals</w:t>
      </w:r>
      <w:r w:rsidR="000C752A">
        <w:rPr>
          <w:rFonts w:eastAsia="Times New Roman" w:cs="Times New Roman"/>
          <w:b/>
        </w:rPr>
        <w:t xml:space="preserve"> (CCR)</w:t>
      </w:r>
      <w:r w:rsidRPr="00E76384">
        <w:rPr>
          <w:rFonts w:eastAsia="Times New Roman" w:cs="Times New Roman"/>
          <w:b/>
        </w:rPr>
        <w:t>, including coal ash</w:t>
      </w:r>
      <w:r w:rsidR="00E76384" w:rsidRPr="00E76384">
        <w:rPr>
          <w:rFonts w:eastAsia="Times New Roman" w:cs="Times New Roman"/>
          <w:b/>
        </w:rPr>
        <w:t xml:space="preserve"> (</w:t>
      </w:r>
      <w:r w:rsidR="00B94F88">
        <w:rPr>
          <w:rFonts w:eastAsia="Times New Roman" w:cs="Times New Roman"/>
          <w:b/>
        </w:rPr>
        <w:t>final action anticipated in Dec. 2014</w:t>
      </w:r>
      <w:r w:rsidR="00E76384" w:rsidRPr="00E76384">
        <w:rPr>
          <w:rFonts w:eastAsia="Times New Roman" w:cs="Times New Roman"/>
          <w:b/>
        </w:rPr>
        <w:t>)</w:t>
      </w:r>
      <w:r w:rsidRPr="00E76384">
        <w:rPr>
          <w:rFonts w:eastAsia="Times New Roman" w:cs="Times New Roman"/>
          <w:b/>
        </w:rPr>
        <w:t xml:space="preserve">. </w:t>
      </w:r>
      <w:r w:rsidRPr="00E76384">
        <w:rPr>
          <w:rFonts w:eastAsia="Times New Roman" w:cs="Times New Roman"/>
        </w:rPr>
        <w:t xml:space="preserve"> EPA first proposed a regulation in </w:t>
      </w:r>
      <w:r w:rsidR="00B94F88">
        <w:rPr>
          <w:rFonts w:eastAsia="Times New Roman" w:cs="Times New Roman"/>
        </w:rPr>
        <w:t>2010</w:t>
      </w:r>
      <w:r w:rsidRPr="00E76384">
        <w:rPr>
          <w:rFonts w:eastAsia="Times New Roman" w:cs="Times New Roman"/>
        </w:rPr>
        <w:t xml:space="preserve">, and a coalition of environmental groups sued in 2012 </w:t>
      </w:r>
      <w:r w:rsidR="00CE7925">
        <w:t>seeking a deadline, among other issues, for EPA to complete its review of the proposed coal ash regulation.</w:t>
      </w:r>
      <w:r w:rsidR="00CE7925" w:rsidRPr="00E76384">
        <w:rPr>
          <w:rFonts w:eastAsia="Times New Roman" w:cs="Times New Roman"/>
        </w:rPr>
        <w:t xml:space="preserve"> </w:t>
      </w:r>
      <w:r w:rsidR="00CE7925">
        <w:rPr>
          <w:rFonts w:eastAsia="Times New Roman" w:cs="Times New Roman"/>
        </w:rPr>
        <w:t xml:space="preserve"> </w:t>
      </w:r>
      <w:r w:rsidR="00B94F88">
        <w:rPr>
          <w:rFonts w:eastAsia="Times New Roman" w:cs="Times New Roman"/>
        </w:rPr>
        <w:t xml:space="preserve">In late 2013, </w:t>
      </w:r>
      <w:r w:rsidRPr="00E76384">
        <w:rPr>
          <w:rFonts w:eastAsia="Times New Roman" w:cs="Times New Roman"/>
        </w:rPr>
        <w:t xml:space="preserve">the U.S. District Court for the District of Columbia </w:t>
      </w:r>
      <w:r w:rsidR="000C752A">
        <w:rPr>
          <w:rFonts w:eastAsia="Times New Roman" w:cs="Times New Roman"/>
        </w:rPr>
        <w:t xml:space="preserve">ordered </w:t>
      </w:r>
      <w:r w:rsidR="00E76384" w:rsidRPr="00E76384">
        <w:rPr>
          <w:rFonts w:eastAsia="Times New Roman" w:cs="Times New Roman"/>
        </w:rPr>
        <w:t>EPA to commit to a</w:t>
      </w:r>
      <w:r w:rsidRPr="00E76384">
        <w:rPr>
          <w:rFonts w:eastAsia="Times New Roman" w:cs="Times New Roman"/>
        </w:rPr>
        <w:t xml:space="preserve"> timeline for finalizing the regulation</w:t>
      </w:r>
      <w:r w:rsidR="000C752A">
        <w:rPr>
          <w:rFonts w:eastAsia="Times New Roman" w:cs="Times New Roman"/>
        </w:rPr>
        <w:t>; EPA recently announced that the rule will be out by the</w:t>
      </w:r>
      <w:r w:rsidR="00E76384" w:rsidRPr="00E76384">
        <w:rPr>
          <w:rFonts w:eastAsia="Times New Roman" w:cs="Times New Roman"/>
        </w:rPr>
        <w:t xml:space="preserve"> end of </w:t>
      </w:r>
      <w:r w:rsidR="00B94F88">
        <w:rPr>
          <w:rFonts w:eastAsia="Times New Roman" w:cs="Times New Roman"/>
        </w:rPr>
        <w:t>2014</w:t>
      </w:r>
      <w:r w:rsidR="00E76384" w:rsidRPr="00E76384">
        <w:rPr>
          <w:rFonts w:eastAsia="Times New Roman" w:cs="Times New Roman"/>
        </w:rPr>
        <w:t xml:space="preserve">. </w:t>
      </w:r>
      <w:r w:rsidR="00BF2570" w:rsidRPr="00E76384">
        <w:rPr>
          <w:rFonts w:eastAsia="Times New Roman"/>
        </w:rPr>
        <w:t xml:space="preserve"> </w:t>
      </w:r>
      <w:r w:rsidR="00B94F88">
        <w:rPr>
          <w:rFonts w:eastAsia="Times New Roman"/>
        </w:rPr>
        <w:t>In early February 2014, EPA officially reiterated its support of the use of certain CCRs in concrete and wallboard—two applications that represent 50 percent of the beneficial use of CCRs. (</w:t>
      </w:r>
      <w:r w:rsidR="00B94F88" w:rsidRPr="00B94F88">
        <w:rPr>
          <w:rFonts w:eastAsia="Times New Roman"/>
          <w:highlight w:val="yellow"/>
        </w:rPr>
        <w:t xml:space="preserve">See article this issue of the </w:t>
      </w:r>
      <w:r w:rsidR="00B94F88" w:rsidRPr="00B94F88">
        <w:rPr>
          <w:rFonts w:eastAsia="Times New Roman"/>
          <w:i/>
          <w:highlight w:val="yellow"/>
        </w:rPr>
        <w:t>Observer</w:t>
      </w:r>
      <w:r w:rsidR="00B94F88" w:rsidRPr="00B94F88">
        <w:rPr>
          <w:rFonts w:eastAsia="Times New Roman"/>
          <w:highlight w:val="yellow"/>
        </w:rPr>
        <w:t>.</w:t>
      </w:r>
      <w:r w:rsidR="00B94F88">
        <w:rPr>
          <w:rFonts w:eastAsia="Times New Roman"/>
        </w:rPr>
        <w:t xml:space="preserve">)  </w:t>
      </w:r>
      <w:hyperlink r:id="rId18" w:history="1">
        <w:r w:rsidR="00BF2570" w:rsidRPr="00D33E87">
          <w:rPr>
            <w:rStyle w:val="Hyperlink"/>
            <w:rFonts w:eastAsia="Times New Roman"/>
          </w:rPr>
          <w:t xml:space="preserve">AGC has </w:t>
        </w:r>
        <w:r w:rsidR="00D33E87" w:rsidRPr="00D33E87">
          <w:rPr>
            <w:rStyle w:val="Hyperlink"/>
            <w:rFonts w:eastAsia="Times New Roman"/>
          </w:rPr>
          <w:t>widely voiced its concerns</w:t>
        </w:r>
      </w:hyperlink>
      <w:r w:rsidR="00D33E87">
        <w:rPr>
          <w:rFonts w:eastAsia="Times New Roman"/>
        </w:rPr>
        <w:t xml:space="preserve"> of</w:t>
      </w:r>
      <w:r w:rsidR="00BF2570" w:rsidRPr="00E76384">
        <w:rPr>
          <w:rFonts w:eastAsia="Times New Roman"/>
        </w:rPr>
        <w:t xml:space="preserve"> how classifying coal combustion waste as </w:t>
      </w:r>
      <w:r w:rsidR="00B94F88">
        <w:rPr>
          <w:rFonts w:eastAsia="Times New Roman"/>
        </w:rPr>
        <w:t xml:space="preserve">a </w:t>
      </w:r>
      <w:r w:rsidR="00BF2570" w:rsidRPr="00E76384">
        <w:rPr>
          <w:rFonts w:eastAsia="Times New Roman"/>
        </w:rPr>
        <w:t>hazardous material would negatively impact the beneficial use of fly ash and significantly increase road building costs.</w:t>
      </w:r>
    </w:p>
    <w:p w:rsidR="00CF351B" w:rsidRPr="00790BF8" w:rsidRDefault="00CF351B" w:rsidP="00BF2570">
      <w:pPr>
        <w:pStyle w:val="NoSpacing"/>
        <w:ind w:left="360"/>
        <w:rPr>
          <w:rFonts w:asciiTheme="minorHAnsi" w:eastAsia="Times New Roman" w:hAnsiTheme="minorHAnsi"/>
        </w:rPr>
      </w:pPr>
    </w:p>
    <w:p w:rsidR="004700F5" w:rsidRPr="00F37185" w:rsidRDefault="0087288A" w:rsidP="00D33E87">
      <w:pPr>
        <w:numPr>
          <w:ilvl w:val="0"/>
          <w:numId w:val="9"/>
        </w:numPr>
        <w:spacing w:after="0" w:line="240" w:lineRule="auto"/>
        <w:rPr>
          <w:rFonts w:eastAsia="Times New Roman"/>
        </w:rPr>
      </w:pPr>
      <w:r w:rsidRPr="00F37185">
        <w:rPr>
          <w:rFonts w:eastAsia="Times New Roman"/>
          <w:b/>
        </w:rPr>
        <w:t xml:space="preserve">Decide </w:t>
      </w:r>
      <w:r w:rsidR="00BF2570" w:rsidRPr="00F37185">
        <w:rPr>
          <w:rFonts w:eastAsia="Times New Roman"/>
          <w:b/>
        </w:rPr>
        <w:t xml:space="preserve">whether or not to expand the Lead </w:t>
      </w:r>
      <w:r w:rsidR="009A3A5C" w:rsidRPr="00F37185">
        <w:rPr>
          <w:rFonts w:eastAsia="Times New Roman"/>
          <w:b/>
        </w:rPr>
        <w:t>Renovation</w:t>
      </w:r>
      <w:r w:rsidR="00BF2570" w:rsidRPr="00F37185">
        <w:rPr>
          <w:rFonts w:eastAsia="Times New Roman"/>
          <w:b/>
        </w:rPr>
        <w:t xml:space="preserve">, Repair &amp; Painting </w:t>
      </w:r>
      <w:r w:rsidR="00D33E87" w:rsidRPr="00F37185">
        <w:rPr>
          <w:rFonts w:eastAsia="Times New Roman"/>
          <w:b/>
        </w:rPr>
        <w:t xml:space="preserve">Program </w:t>
      </w:r>
      <w:r w:rsidR="00BF2570" w:rsidRPr="00F37185">
        <w:rPr>
          <w:rFonts w:eastAsia="Times New Roman"/>
          <w:b/>
        </w:rPr>
        <w:t xml:space="preserve">(LRRP) rules to cover work in </w:t>
      </w:r>
      <w:r w:rsidR="00D33E87" w:rsidRPr="00F37185">
        <w:rPr>
          <w:rFonts w:eastAsia="Times New Roman"/>
          <w:b/>
        </w:rPr>
        <w:t>public and commercial (P&amp;C)</w:t>
      </w:r>
      <w:r w:rsidR="00F37185">
        <w:rPr>
          <w:rFonts w:eastAsia="Times New Roman"/>
          <w:b/>
        </w:rPr>
        <w:t xml:space="preserve"> buildings (information collection survey distributed in the spring of 2014</w:t>
      </w:r>
      <w:r w:rsidR="00BF2570" w:rsidRPr="00F37185">
        <w:rPr>
          <w:rFonts w:eastAsia="Times New Roman"/>
          <w:b/>
        </w:rPr>
        <w:t>).</w:t>
      </w:r>
      <w:r w:rsidR="00BF2570" w:rsidRPr="00F37185">
        <w:rPr>
          <w:rFonts w:eastAsia="Times New Roman"/>
        </w:rPr>
        <w:t xml:space="preserve">  </w:t>
      </w:r>
      <w:r w:rsidR="00D33E87">
        <w:t xml:space="preserve">Back in April 2008, EPA issued the final LRRP rule to address lead-based paint hazards created by construction activities that disturb lead-based </w:t>
      </w:r>
      <w:r w:rsidR="00D33E87" w:rsidRPr="00F37185">
        <w:t xml:space="preserve">paint in </w:t>
      </w:r>
      <w:r w:rsidR="00D33E87" w:rsidRPr="00F37185">
        <w:rPr>
          <w:bCs/>
        </w:rPr>
        <w:t xml:space="preserve">pre-1978 housing and child-occupied facilities.  EPA is bound by a </w:t>
      </w:r>
      <w:r w:rsidR="00F37185" w:rsidRPr="00F37185">
        <w:rPr>
          <w:bCs/>
        </w:rPr>
        <w:t>2009</w:t>
      </w:r>
      <w:r w:rsidR="00D33E87" w:rsidRPr="00F37185">
        <w:rPr>
          <w:bCs/>
        </w:rPr>
        <w:t xml:space="preserve"> settlement of a lawsuit </w:t>
      </w:r>
      <w:r w:rsidR="00F37185" w:rsidRPr="00F37185">
        <w:rPr>
          <w:bCs/>
        </w:rPr>
        <w:t xml:space="preserve">– </w:t>
      </w:r>
      <w:r w:rsidR="00D33E87" w:rsidRPr="00F37185">
        <w:rPr>
          <w:bCs/>
        </w:rPr>
        <w:t xml:space="preserve">brought by environmental and health advocacy groups </w:t>
      </w:r>
      <w:r w:rsidR="00F37185" w:rsidRPr="00F37185">
        <w:rPr>
          <w:bCs/>
        </w:rPr>
        <w:t xml:space="preserve">– </w:t>
      </w:r>
      <w:r w:rsidR="00D33E87" w:rsidRPr="00F37185">
        <w:rPr>
          <w:bCs/>
        </w:rPr>
        <w:t>to propose a</w:t>
      </w:r>
      <w:r w:rsidR="00D33E87" w:rsidRPr="00F37185">
        <w:t xml:space="preserve"> P&amp;C buildings rule by July 1, 2015, unless it </w:t>
      </w:r>
      <w:r w:rsidR="00F37185" w:rsidRPr="00F37185">
        <w:t xml:space="preserve">determines that no lead-based paint hazards exits.  </w:t>
      </w:r>
      <w:r w:rsidR="00F37185" w:rsidRPr="00F37185">
        <w:rPr>
          <w:rFonts w:eastAsia="Times New Roman"/>
        </w:rPr>
        <w:t xml:space="preserve">AGC has commented repeatedly that EPA lack the data and legal basis to expand the program.  </w:t>
      </w:r>
      <w:r w:rsidR="00BF2570" w:rsidRPr="00F37185">
        <w:rPr>
          <w:rFonts w:eastAsia="Times New Roman"/>
        </w:rPr>
        <w:t xml:space="preserve">Most </w:t>
      </w:r>
      <w:r w:rsidR="00BF2570" w:rsidRPr="00F37185">
        <w:rPr>
          <w:rFonts w:eastAsia="Times New Roman"/>
        </w:rPr>
        <w:lastRenderedPageBreak/>
        <w:t xml:space="preserve">recently, </w:t>
      </w:r>
      <w:hyperlink r:id="rId19" w:history="1">
        <w:r w:rsidR="00BF2570" w:rsidRPr="00F37185">
          <w:rPr>
            <w:rStyle w:val="Hyperlink"/>
            <w:rFonts w:eastAsia="Times New Roman"/>
          </w:rPr>
          <w:t>AGC responded to a draft survey</w:t>
        </w:r>
      </w:hyperlink>
      <w:r w:rsidR="00BF2570" w:rsidRPr="00F37185">
        <w:rPr>
          <w:rFonts w:eastAsia="Times New Roman"/>
        </w:rPr>
        <w:t xml:space="preserve"> to solicit information fro commercial builders on renovation and remodeling practices.</w:t>
      </w:r>
    </w:p>
    <w:p w:rsidR="00443755" w:rsidRDefault="00443755" w:rsidP="00443755">
      <w:pPr>
        <w:pStyle w:val="NoSpacing"/>
        <w:rPr>
          <w:rFonts w:asciiTheme="minorHAnsi" w:eastAsia="Times New Roman" w:hAnsiTheme="minorHAnsi"/>
        </w:rPr>
      </w:pPr>
    </w:p>
    <w:p w:rsidR="00443755" w:rsidRPr="00AA58B5" w:rsidRDefault="00F37185" w:rsidP="00AA58B5">
      <w:pPr>
        <w:pStyle w:val="NoSpacing"/>
        <w:numPr>
          <w:ilvl w:val="0"/>
          <w:numId w:val="9"/>
        </w:numPr>
        <w:rPr>
          <w:rFonts w:asciiTheme="minorHAnsi" w:eastAsia="Times New Roman" w:hAnsiTheme="minorHAnsi"/>
        </w:rPr>
      </w:pPr>
      <w:r w:rsidRPr="00AA58B5">
        <w:rPr>
          <w:rFonts w:asciiTheme="minorHAnsi" w:hAnsiTheme="minorHAnsi" w:cs="Helvetica"/>
          <w:b/>
        </w:rPr>
        <w:t xml:space="preserve">Develop an electronic system for tracking hazardous waste shipments, called </w:t>
      </w:r>
      <w:hyperlink r:id="rId20" w:history="1">
        <w:r w:rsidRPr="00AA58B5">
          <w:rPr>
            <w:rStyle w:val="Hyperlink"/>
            <w:rFonts w:asciiTheme="minorHAnsi" w:hAnsiTheme="minorHAnsi" w:cs="Helvetica"/>
            <w:b/>
          </w:rPr>
          <w:t>e-Manifests</w:t>
        </w:r>
      </w:hyperlink>
      <w:r w:rsidRPr="00AA58B5">
        <w:rPr>
          <w:rFonts w:asciiTheme="minorHAnsi" w:hAnsiTheme="minorHAnsi" w:cs="Helvetica"/>
          <w:b/>
        </w:rPr>
        <w:t xml:space="preserve"> (</w:t>
      </w:r>
      <w:r w:rsidR="00AA58B5" w:rsidRPr="00AA58B5">
        <w:rPr>
          <w:rFonts w:asciiTheme="minorHAnsi" w:hAnsiTheme="minorHAnsi" w:cs="Helvetica"/>
          <w:b/>
        </w:rPr>
        <w:t>system online by October 2015)</w:t>
      </w:r>
      <w:r w:rsidRPr="00AA58B5">
        <w:rPr>
          <w:rFonts w:asciiTheme="minorHAnsi" w:hAnsiTheme="minorHAnsi" w:cs="Helvetica"/>
          <w:b/>
        </w:rPr>
        <w:t>.</w:t>
      </w:r>
      <w:r w:rsidRPr="00AA58B5">
        <w:rPr>
          <w:rFonts w:asciiTheme="minorHAnsi" w:hAnsiTheme="minorHAnsi" w:cs="Helvetica"/>
        </w:rPr>
        <w:t xml:space="preserve"> EPA recently </w:t>
      </w:r>
      <w:hyperlink r:id="rId21" w:history="1">
        <w:r w:rsidRPr="00AA58B5">
          <w:rPr>
            <w:rStyle w:val="Hyperlink"/>
            <w:rFonts w:asciiTheme="minorHAnsi" w:hAnsiTheme="minorHAnsi" w:cs="Helvetica"/>
            <w:b/>
            <w:bCs/>
            <w:color w:val="0000FF"/>
          </w:rPr>
          <w:t>finalized a rule</w:t>
        </w:r>
      </w:hyperlink>
      <w:r w:rsidRPr="00AA58B5">
        <w:rPr>
          <w:rFonts w:asciiTheme="minorHAnsi" w:hAnsiTheme="minorHAnsi" w:cs="Helvetica"/>
        </w:rPr>
        <w:t xml:space="preserve"> to authorize the use of electronic manifests (e-Manifests); a subsequent rule will establish fees. The agency is up against an October 2015 statutory deadline to have the system operational, per the 2012 Hazardous Waste Electronic Manifest Establishment Act. The electronic system will apply in lieu of inconsistent state programs.</w:t>
      </w:r>
    </w:p>
    <w:p w:rsidR="00443755" w:rsidRDefault="00443755" w:rsidP="00443755">
      <w:pPr>
        <w:pStyle w:val="NoSpacing"/>
        <w:rPr>
          <w:rFonts w:asciiTheme="minorHAnsi" w:eastAsia="Times New Roman" w:hAnsiTheme="minorHAnsi"/>
        </w:rPr>
      </w:pPr>
    </w:p>
    <w:p w:rsidR="00991A5B" w:rsidRPr="00AA58B5" w:rsidRDefault="00991A5B" w:rsidP="00443755">
      <w:pPr>
        <w:pStyle w:val="NoSpacing"/>
        <w:rPr>
          <w:rFonts w:asciiTheme="minorHAnsi" w:eastAsia="Times New Roman" w:hAnsiTheme="minorHAnsi"/>
          <w:b/>
        </w:rPr>
      </w:pPr>
      <w:r w:rsidRPr="00AA58B5">
        <w:rPr>
          <w:rFonts w:asciiTheme="minorHAnsi" w:eastAsia="Times New Roman" w:hAnsiTheme="minorHAnsi"/>
          <w:b/>
        </w:rPr>
        <w:t>Air &amp; Climate</w:t>
      </w:r>
    </w:p>
    <w:p w:rsidR="001958EB" w:rsidRPr="00AA58B5" w:rsidRDefault="001958EB" w:rsidP="00443755">
      <w:pPr>
        <w:pStyle w:val="NoSpacing"/>
        <w:rPr>
          <w:rFonts w:asciiTheme="minorHAnsi" w:eastAsia="Times New Roman" w:hAnsiTheme="minorHAnsi"/>
        </w:rPr>
      </w:pPr>
    </w:p>
    <w:p w:rsidR="00AA0E1B" w:rsidRPr="00AA58B5" w:rsidRDefault="00AA0E1B" w:rsidP="00AA58B5">
      <w:pPr>
        <w:pStyle w:val="ListParagraph"/>
        <w:numPr>
          <w:ilvl w:val="0"/>
          <w:numId w:val="16"/>
        </w:numPr>
        <w:spacing w:after="0" w:line="240" w:lineRule="auto"/>
        <w:rPr>
          <w:rFonts w:eastAsia="Times New Roman" w:cs="Times New Roman"/>
        </w:rPr>
      </w:pPr>
      <w:r w:rsidRPr="00AA58B5">
        <w:rPr>
          <w:rFonts w:eastAsia="Times New Roman" w:cs="Times New Roman"/>
          <w:b/>
        </w:rPr>
        <w:t>Establish</w:t>
      </w:r>
      <w:r w:rsidR="00E76384" w:rsidRPr="00AA58B5">
        <w:rPr>
          <w:rFonts w:eastAsia="Times New Roman" w:cs="Times New Roman"/>
          <w:b/>
        </w:rPr>
        <w:t xml:space="preserve"> </w:t>
      </w:r>
      <w:r w:rsidRPr="00AA58B5">
        <w:rPr>
          <w:rFonts w:eastAsia="Times New Roman" w:cs="Times New Roman"/>
          <w:b/>
        </w:rPr>
        <w:t xml:space="preserve">new source performance standards </w:t>
      </w:r>
      <w:r w:rsidR="00C517C4">
        <w:rPr>
          <w:rFonts w:eastAsia="Times New Roman" w:cs="Times New Roman"/>
          <w:b/>
        </w:rPr>
        <w:t xml:space="preserve">(NSPS) </w:t>
      </w:r>
      <w:r w:rsidRPr="00AA58B5">
        <w:rPr>
          <w:rFonts w:eastAsia="Times New Roman" w:cs="Times New Roman"/>
          <w:b/>
        </w:rPr>
        <w:t>for carbon dioxide emissions from existing and modified power plants</w:t>
      </w:r>
      <w:r w:rsidR="00C517C4">
        <w:rPr>
          <w:rFonts w:eastAsia="Times New Roman" w:cs="Times New Roman"/>
          <w:b/>
        </w:rPr>
        <w:t xml:space="preserve"> (timeline uncertain pending judicial review</w:t>
      </w:r>
      <w:r w:rsidR="00E76384" w:rsidRPr="00AA58B5">
        <w:rPr>
          <w:rFonts w:eastAsia="Times New Roman" w:cs="Times New Roman"/>
          <w:b/>
        </w:rPr>
        <w:t>)</w:t>
      </w:r>
      <w:r w:rsidRPr="00AA58B5">
        <w:rPr>
          <w:rFonts w:eastAsia="Times New Roman" w:cs="Times New Roman"/>
          <w:b/>
        </w:rPr>
        <w:t>.</w:t>
      </w:r>
      <w:r w:rsidRPr="00AA58B5">
        <w:rPr>
          <w:rFonts w:eastAsia="Times New Roman" w:cs="Times New Roman"/>
        </w:rPr>
        <w:t xml:space="preserve"> </w:t>
      </w:r>
      <w:r w:rsidR="001A54C8" w:rsidRPr="00AA58B5">
        <w:t xml:space="preserve">EPA has </w:t>
      </w:r>
      <w:r w:rsidR="00745254">
        <w:t xml:space="preserve">attempted for some time to </w:t>
      </w:r>
      <w:r w:rsidR="001A54C8" w:rsidRPr="00AA58B5">
        <w:t xml:space="preserve">set </w:t>
      </w:r>
      <w:r w:rsidR="00745254">
        <w:t>greenhouse gas (</w:t>
      </w:r>
      <w:r w:rsidR="001A54C8" w:rsidRPr="00AA58B5">
        <w:t>GHG</w:t>
      </w:r>
      <w:r w:rsidR="00745254">
        <w:t>)</w:t>
      </w:r>
      <w:r w:rsidR="001A54C8" w:rsidRPr="00AA58B5">
        <w:t xml:space="preserve"> emissions limits for </w:t>
      </w:r>
      <w:r w:rsidR="00745254">
        <w:t xml:space="preserve">new </w:t>
      </w:r>
      <w:r w:rsidR="001A54C8" w:rsidRPr="00AA58B5">
        <w:t>power plants that have yet to be built</w:t>
      </w:r>
      <w:r w:rsidR="00745254">
        <w:t xml:space="preserve">.  EPA issued a revised proposal Jan. 8 that replaces one from April 2012 that, if finalized, could open the door for </w:t>
      </w:r>
      <w:r w:rsidR="00745254" w:rsidRPr="00745254">
        <w:t>wide-ranging regulation of GHG emissions from sources already subject to an NSPS</w:t>
      </w:r>
      <w:r w:rsidR="00745254">
        <w:rPr>
          <w:rFonts w:ascii="Arial" w:hAnsi="Arial" w:cs="Arial"/>
          <w:color w:val="333333"/>
          <w:sz w:val="19"/>
          <w:szCs w:val="19"/>
        </w:rPr>
        <w:t xml:space="preserve">. </w:t>
      </w:r>
      <w:r w:rsidR="00745254" w:rsidRPr="00AA58B5">
        <w:rPr>
          <w:rFonts w:eastAsia="Times New Roman" w:cs="Times New Roman"/>
        </w:rPr>
        <w:t xml:space="preserve">The schedule and content of this regulation may be affected by the </w:t>
      </w:r>
      <w:r w:rsidR="00745254">
        <w:rPr>
          <w:rFonts w:eastAsia="Times New Roman" w:cs="Times New Roman"/>
        </w:rPr>
        <w:t xml:space="preserve">U.S. </w:t>
      </w:r>
      <w:r w:rsidR="00745254" w:rsidRPr="00AA58B5">
        <w:rPr>
          <w:rFonts w:eastAsia="Times New Roman" w:cs="Times New Roman"/>
        </w:rPr>
        <w:t xml:space="preserve">Supreme Court’s </w:t>
      </w:r>
      <w:r w:rsidR="00745254">
        <w:rPr>
          <w:rFonts w:eastAsia="Times New Roman" w:cs="Times New Roman"/>
        </w:rPr>
        <w:t xml:space="preserve">anticipated </w:t>
      </w:r>
      <w:r w:rsidR="00745254" w:rsidRPr="00AA58B5">
        <w:rPr>
          <w:rFonts w:eastAsia="Times New Roman" w:cs="Times New Roman"/>
        </w:rPr>
        <w:t xml:space="preserve">decision in </w:t>
      </w:r>
      <w:r w:rsidR="00745254" w:rsidRPr="00AA58B5">
        <w:rPr>
          <w:rFonts w:eastAsia="Times New Roman" w:cs="Times New Roman"/>
          <w:i/>
          <w:iCs/>
        </w:rPr>
        <w:t>Utility Air Regulatory Group v. U.S. Environmental Protection Agency.</w:t>
      </w:r>
      <w:r w:rsidR="00745254" w:rsidRPr="00AA58B5">
        <w:rPr>
          <w:rFonts w:eastAsia="Times New Roman" w:cs="Times New Roman"/>
          <w:iCs/>
        </w:rPr>
        <w:t xml:space="preserve"> </w:t>
      </w:r>
      <w:r w:rsidR="00745254" w:rsidRPr="00AA58B5">
        <w:rPr>
          <w:rFonts w:eastAsia="Times New Roman" w:cs="Times New Roman"/>
        </w:rPr>
        <w:t xml:space="preserve"> </w:t>
      </w:r>
      <w:r w:rsidR="001A54C8" w:rsidRPr="00AA58B5">
        <w:t xml:space="preserve">EPA </w:t>
      </w:r>
      <w:r w:rsidR="00745254">
        <w:t xml:space="preserve">has also turned </w:t>
      </w:r>
      <w:r w:rsidR="001A54C8" w:rsidRPr="00AA58B5">
        <w:t xml:space="preserve">its attention to </w:t>
      </w:r>
      <w:r w:rsidR="001A54C8" w:rsidRPr="00AA58B5">
        <w:rPr>
          <w:rStyle w:val="Emphasis"/>
        </w:rPr>
        <w:t>existing</w:t>
      </w:r>
      <w:r w:rsidR="001A54C8" w:rsidRPr="00AA58B5">
        <w:t xml:space="preserve"> power plants. </w:t>
      </w:r>
      <w:r w:rsidR="00745254">
        <w:t xml:space="preserve"> In addition, </w:t>
      </w:r>
      <w:r w:rsidR="001A54C8" w:rsidRPr="00AA58B5">
        <w:t xml:space="preserve">EPA will need to consider how best to regulate carbon-dioxide </w:t>
      </w:r>
      <w:hyperlink r:id="rId22" w:history="1">
        <w:r w:rsidR="001A54C8" w:rsidRPr="00AA58B5">
          <w:rPr>
            <w:rStyle w:val="Strong"/>
            <w:color w:val="275A70"/>
            <w:u w:val="single"/>
          </w:rPr>
          <w:t>from other stationary sources</w:t>
        </w:r>
      </w:hyperlink>
      <w:r w:rsidR="001A54C8" w:rsidRPr="00AA58B5">
        <w:t>, including oil and gas refineries and cement kilns.</w:t>
      </w:r>
    </w:p>
    <w:p w:rsidR="005A6EB1" w:rsidRPr="00AA58B5" w:rsidRDefault="005A6EB1" w:rsidP="00CF351B">
      <w:pPr>
        <w:spacing w:after="0" w:line="240" w:lineRule="auto"/>
        <w:ind w:left="360"/>
        <w:rPr>
          <w:rFonts w:eastAsia="Times New Roman" w:cs="Times New Roman"/>
        </w:rPr>
      </w:pPr>
    </w:p>
    <w:p w:rsidR="00BF2570" w:rsidRPr="00AA58B5" w:rsidRDefault="00BF2570" w:rsidP="00AA58B5">
      <w:pPr>
        <w:spacing w:after="0" w:line="240" w:lineRule="auto"/>
        <w:rPr>
          <w:rFonts w:eastAsia="Times New Roman" w:cs="Times New Roman"/>
        </w:rPr>
      </w:pPr>
    </w:p>
    <w:p w:rsidR="007B5228" w:rsidRPr="00AA58B5" w:rsidRDefault="00AA58B5" w:rsidP="00AA58B5">
      <w:pPr>
        <w:pStyle w:val="NormalWeb"/>
        <w:spacing w:before="0" w:after="0"/>
        <w:rPr>
          <w:rFonts w:asciiTheme="minorHAnsi" w:hAnsiTheme="minorHAnsi"/>
          <w:b/>
          <w:i/>
          <w:sz w:val="22"/>
          <w:szCs w:val="22"/>
        </w:rPr>
      </w:pPr>
      <w:r w:rsidRPr="00AA58B5">
        <w:rPr>
          <w:rFonts w:asciiTheme="minorHAnsi" w:hAnsiTheme="minorHAnsi"/>
          <w:b/>
          <w:i/>
          <w:sz w:val="22"/>
          <w:szCs w:val="22"/>
        </w:rPr>
        <w:t xml:space="preserve">If you have questions, please contact </w:t>
      </w:r>
      <w:r w:rsidRPr="00AA58B5">
        <w:rPr>
          <w:rFonts w:asciiTheme="minorHAnsi" w:hAnsiTheme="minorHAnsi" w:cs="Helvetica"/>
          <w:b/>
          <w:bCs/>
          <w:i/>
          <w:iCs/>
          <w:sz w:val="22"/>
          <w:szCs w:val="22"/>
        </w:rPr>
        <w:t xml:space="preserve">AGC’s Senior Environmental Advisor Leah Pilconis at </w:t>
      </w:r>
      <w:hyperlink r:id="rId23" w:history="1">
        <w:r w:rsidRPr="00AA58B5">
          <w:rPr>
            <w:rFonts w:asciiTheme="minorHAnsi" w:hAnsiTheme="minorHAnsi" w:cs="Helvetica"/>
            <w:b/>
            <w:bCs/>
            <w:i/>
            <w:iCs/>
            <w:color w:val="0000FF"/>
            <w:sz w:val="22"/>
            <w:szCs w:val="22"/>
            <w:u w:val="single"/>
          </w:rPr>
          <w:t>pilconisl@agc.org</w:t>
        </w:r>
      </w:hyperlink>
      <w:r w:rsidRPr="00AA58B5">
        <w:rPr>
          <w:rFonts w:asciiTheme="minorHAnsi" w:hAnsiTheme="minorHAnsi" w:cs="Helvetica"/>
          <w:b/>
          <w:bCs/>
          <w:i/>
          <w:iCs/>
          <w:sz w:val="22"/>
          <w:szCs w:val="22"/>
        </w:rPr>
        <w:t xml:space="preserve">. </w:t>
      </w:r>
    </w:p>
    <w:p w:rsidR="005C6357" w:rsidRDefault="005C6357" w:rsidP="00AA58B5">
      <w:pPr>
        <w:spacing w:after="0" w:line="240" w:lineRule="auto"/>
        <w:rPr>
          <w:rFonts w:eastAsia="Times New Roman" w:cs="Times New Roman"/>
          <w:b/>
          <w:i/>
        </w:rPr>
      </w:pPr>
      <w:r w:rsidRPr="00AA58B5">
        <w:rPr>
          <w:rFonts w:eastAsia="Times New Roman" w:cs="Times New Roman"/>
          <w:b/>
          <w:i/>
        </w:rPr>
        <w:t xml:space="preserve">For a complete run-down of AGC’s environmental services -- including its advocacy work, compliance tools, and image enhancement opportunities – </w:t>
      </w:r>
      <w:r w:rsidRPr="00AA58B5">
        <w:rPr>
          <w:rFonts w:eastAsia="Times New Roman" w:cs="Times New Roman"/>
          <w:b/>
          <w:i/>
          <w:highlight w:val="yellow"/>
        </w:rPr>
        <w:t>click here</w:t>
      </w:r>
      <w:r w:rsidRPr="00AA58B5">
        <w:rPr>
          <w:rFonts w:eastAsia="Times New Roman" w:cs="Times New Roman"/>
          <w:b/>
          <w:i/>
        </w:rPr>
        <w:t xml:space="preserve"> for a printable flyer.</w:t>
      </w:r>
    </w:p>
    <w:sectPr w:rsidR="005C6357" w:rsidSect="00790BF8">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7393"/>
    <w:multiLevelType w:val="multilevel"/>
    <w:tmpl w:val="31DA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120EE"/>
    <w:multiLevelType w:val="multilevel"/>
    <w:tmpl w:val="17A8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87EC7"/>
    <w:multiLevelType w:val="hybridMultilevel"/>
    <w:tmpl w:val="B32E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23F5C"/>
    <w:multiLevelType w:val="hybridMultilevel"/>
    <w:tmpl w:val="DB9689A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nsid w:val="1BC76723"/>
    <w:multiLevelType w:val="hybridMultilevel"/>
    <w:tmpl w:val="0C3E2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4C603B"/>
    <w:multiLevelType w:val="hybridMultilevel"/>
    <w:tmpl w:val="E4D6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0D470B"/>
    <w:multiLevelType w:val="hybridMultilevel"/>
    <w:tmpl w:val="81FAD490"/>
    <w:lvl w:ilvl="0" w:tplc="2FC872B8">
      <w:start w:val="1"/>
      <w:numFmt w:val="bullet"/>
      <w:lvlText w:val="•"/>
      <w:lvlJc w:val="left"/>
      <w:pPr>
        <w:tabs>
          <w:tab w:val="num" w:pos="720"/>
        </w:tabs>
        <w:ind w:left="720" w:hanging="360"/>
      </w:pPr>
      <w:rPr>
        <w:rFonts w:ascii="Times New Roman" w:hAnsi="Times New Roman" w:cs="Times New Roman" w:hint="default"/>
      </w:rPr>
    </w:lvl>
    <w:lvl w:ilvl="1" w:tplc="7A6C1C64">
      <w:start w:val="1"/>
      <w:numFmt w:val="bullet"/>
      <w:lvlText w:val="•"/>
      <w:lvlJc w:val="left"/>
      <w:pPr>
        <w:tabs>
          <w:tab w:val="num" w:pos="1440"/>
        </w:tabs>
        <w:ind w:left="1440" w:hanging="360"/>
      </w:pPr>
      <w:rPr>
        <w:rFonts w:ascii="Times New Roman" w:hAnsi="Times New Roman" w:cs="Times New Roman" w:hint="default"/>
      </w:rPr>
    </w:lvl>
    <w:lvl w:ilvl="2" w:tplc="81982300">
      <w:start w:val="1"/>
      <w:numFmt w:val="decimal"/>
      <w:lvlText w:val="%3."/>
      <w:lvlJc w:val="left"/>
      <w:pPr>
        <w:tabs>
          <w:tab w:val="num" w:pos="2160"/>
        </w:tabs>
        <w:ind w:left="2160" w:hanging="360"/>
      </w:pPr>
    </w:lvl>
    <w:lvl w:ilvl="3" w:tplc="020AAF96">
      <w:start w:val="1"/>
      <w:numFmt w:val="decimal"/>
      <w:lvlText w:val="%4."/>
      <w:lvlJc w:val="left"/>
      <w:pPr>
        <w:tabs>
          <w:tab w:val="num" w:pos="2880"/>
        </w:tabs>
        <w:ind w:left="2880" w:hanging="360"/>
      </w:pPr>
    </w:lvl>
    <w:lvl w:ilvl="4" w:tplc="A42CC266">
      <w:start w:val="1"/>
      <w:numFmt w:val="decimal"/>
      <w:lvlText w:val="%5."/>
      <w:lvlJc w:val="left"/>
      <w:pPr>
        <w:tabs>
          <w:tab w:val="num" w:pos="3600"/>
        </w:tabs>
        <w:ind w:left="3600" w:hanging="360"/>
      </w:pPr>
    </w:lvl>
    <w:lvl w:ilvl="5" w:tplc="580C19C2">
      <w:start w:val="1"/>
      <w:numFmt w:val="decimal"/>
      <w:lvlText w:val="%6."/>
      <w:lvlJc w:val="left"/>
      <w:pPr>
        <w:tabs>
          <w:tab w:val="num" w:pos="4320"/>
        </w:tabs>
        <w:ind w:left="4320" w:hanging="360"/>
      </w:pPr>
    </w:lvl>
    <w:lvl w:ilvl="6" w:tplc="8B327FEE">
      <w:start w:val="1"/>
      <w:numFmt w:val="decimal"/>
      <w:lvlText w:val="%7."/>
      <w:lvlJc w:val="left"/>
      <w:pPr>
        <w:tabs>
          <w:tab w:val="num" w:pos="5040"/>
        </w:tabs>
        <w:ind w:left="5040" w:hanging="360"/>
      </w:pPr>
    </w:lvl>
    <w:lvl w:ilvl="7" w:tplc="5DD2BBB2">
      <w:start w:val="1"/>
      <w:numFmt w:val="decimal"/>
      <w:lvlText w:val="%8."/>
      <w:lvlJc w:val="left"/>
      <w:pPr>
        <w:tabs>
          <w:tab w:val="num" w:pos="5760"/>
        </w:tabs>
        <w:ind w:left="5760" w:hanging="360"/>
      </w:pPr>
    </w:lvl>
    <w:lvl w:ilvl="8" w:tplc="0D688FF0">
      <w:start w:val="1"/>
      <w:numFmt w:val="decimal"/>
      <w:lvlText w:val="%9."/>
      <w:lvlJc w:val="left"/>
      <w:pPr>
        <w:tabs>
          <w:tab w:val="num" w:pos="6480"/>
        </w:tabs>
        <w:ind w:left="6480" w:hanging="360"/>
      </w:pPr>
    </w:lvl>
  </w:abstractNum>
  <w:abstractNum w:abstractNumId="7">
    <w:nsid w:val="6175129C"/>
    <w:multiLevelType w:val="multilevel"/>
    <w:tmpl w:val="33CA498A"/>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780"/>
        </w:tabs>
        <w:ind w:left="780" w:hanging="360"/>
      </w:pPr>
      <w:rPr>
        <w:rFonts w:ascii="Courier New" w:hAnsi="Courier New" w:hint="default"/>
        <w:sz w:val="20"/>
      </w:rPr>
    </w:lvl>
    <w:lvl w:ilvl="2" w:tentative="1">
      <w:start w:val="1"/>
      <w:numFmt w:val="bullet"/>
      <w:lvlText w:val=""/>
      <w:lvlJc w:val="left"/>
      <w:pPr>
        <w:tabs>
          <w:tab w:val="num" w:pos="1500"/>
        </w:tabs>
        <w:ind w:left="1500" w:hanging="360"/>
      </w:pPr>
      <w:rPr>
        <w:rFonts w:ascii="Wingdings" w:hAnsi="Wingdings" w:hint="default"/>
        <w:sz w:val="20"/>
      </w:rPr>
    </w:lvl>
    <w:lvl w:ilvl="3" w:tentative="1">
      <w:start w:val="1"/>
      <w:numFmt w:val="bullet"/>
      <w:lvlText w:val=""/>
      <w:lvlJc w:val="left"/>
      <w:pPr>
        <w:tabs>
          <w:tab w:val="num" w:pos="2220"/>
        </w:tabs>
        <w:ind w:left="2220" w:hanging="360"/>
      </w:pPr>
      <w:rPr>
        <w:rFonts w:ascii="Wingdings" w:hAnsi="Wingdings" w:hint="default"/>
        <w:sz w:val="20"/>
      </w:rPr>
    </w:lvl>
    <w:lvl w:ilvl="4" w:tentative="1">
      <w:start w:val="1"/>
      <w:numFmt w:val="bullet"/>
      <w:lvlText w:val=""/>
      <w:lvlJc w:val="left"/>
      <w:pPr>
        <w:tabs>
          <w:tab w:val="num" w:pos="2940"/>
        </w:tabs>
        <w:ind w:left="2940" w:hanging="360"/>
      </w:pPr>
      <w:rPr>
        <w:rFonts w:ascii="Wingdings" w:hAnsi="Wingdings" w:hint="default"/>
        <w:sz w:val="20"/>
      </w:rPr>
    </w:lvl>
    <w:lvl w:ilvl="5" w:tentative="1">
      <w:start w:val="1"/>
      <w:numFmt w:val="bullet"/>
      <w:lvlText w:val=""/>
      <w:lvlJc w:val="left"/>
      <w:pPr>
        <w:tabs>
          <w:tab w:val="num" w:pos="3660"/>
        </w:tabs>
        <w:ind w:left="3660" w:hanging="360"/>
      </w:pPr>
      <w:rPr>
        <w:rFonts w:ascii="Wingdings" w:hAnsi="Wingdings" w:hint="default"/>
        <w:sz w:val="20"/>
      </w:rPr>
    </w:lvl>
    <w:lvl w:ilvl="6" w:tentative="1">
      <w:start w:val="1"/>
      <w:numFmt w:val="bullet"/>
      <w:lvlText w:val=""/>
      <w:lvlJc w:val="left"/>
      <w:pPr>
        <w:tabs>
          <w:tab w:val="num" w:pos="4380"/>
        </w:tabs>
        <w:ind w:left="4380" w:hanging="360"/>
      </w:pPr>
      <w:rPr>
        <w:rFonts w:ascii="Wingdings" w:hAnsi="Wingdings" w:hint="default"/>
        <w:sz w:val="20"/>
      </w:rPr>
    </w:lvl>
    <w:lvl w:ilvl="7" w:tentative="1">
      <w:start w:val="1"/>
      <w:numFmt w:val="bullet"/>
      <w:lvlText w:val=""/>
      <w:lvlJc w:val="left"/>
      <w:pPr>
        <w:tabs>
          <w:tab w:val="num" w:pos="5100"/>
        </w:tabs>
        <w:ind w:left="5100" w:hanging="360"/>
      </w:pPr>
      <w:rPr>
        <w:rFonts w:ascii="Wingdings" w:hAnsi="Wingdings" w:hint="default"/>
        <w:sz w:val="20"/>
      </w:rPr>
    </w:lvl>
    <w:lvl w:ilvl="8" w:tentative="1">
      <w:start w:val="1"/>
      <w:numFmt w:val="bullet"/>
      <w:lvlText w:val=""/>
      <w:lvlJc w:val="left"/>
      <w:pPr>
        <w:tabs>
          <w:tab w:val="num" w:pos="5820"/>
        </w:tabs>
        <w:ind w:left="5820" w:hanging="360"/>
      </w:pPr>
      <w:rPr>
        <w:rFonts w:ascii="Wingdings" w:hAnsi="Wingdings" w:hint="default"/>
        <w:sz w:val="20"/>
      </w:rPr>
    </w:lvl>
  </w:abstractNum>
  <w:abstractNum w:abstractNumId="8">
    <w:nsid w:val="6396440E"/>
    <w:multiLevelType w:val="multilevel"/>
    <w:tmpl w:val="09A0B4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C9320A"/>
    <w:multiLevelType w:val="multilevel"/>
    <w:tmpl w:val="D174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7A60E0"/>
    <w:multiLevelType w:val="multilevel"/>
    <w:tmpl w:val="977C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DB44E8"/>
    <w:multiLevelType w:val="multilevel"/>
    <w:tmpl w:val="75EC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937160"/>
    <w:multiLevelType w:val="hybridMultilevel"/>
    <w:tmpl w:val="8DEAE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AD3C89"/>
    <w:multiLevelType w:val="hybridMultilevel"/>
    <w:tmpl w:val="48208B2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7DAF6B42"/>
    <w:multiLevelType w:val="hybridMultilevel"/>
    <w:tmpl w:val="D1880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9"/>
  </w:num>
  <w:num w:numId="6">
    <w:abstractNumId w:val="11"/>
  </w:num>
  <w:num w:numId="7">
    <w:abstractNumId w:val="1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13"/>
  </w:num>
  <w:num w:numId="12">
    <w:abstractNumId w:val="2"/>
  </w:num>
  <w:num w:numId="13">
    <w:abstractNumId w:val="12"/>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20"/>
  <w:drawingGridHorizontalSpacing w:val="110"/>
  <w:displayHorizontalDrawingGridEvery w:val="2"/>
  <w:characterSpacingControl w:val="doNotCompress"/>
  <w:compat/>
  <w:rsids>
    <w:rsidRoot w:val="00AA0E1B"/>
    <w:rsid w:val="00035BFB"/>
    <w:rsid w:val="000A5907"/>
    <w:rsid w:val="000C752A"/>
    <w:rsid w:val="001958EB"/>
    <w:rsid w:val="001A166D"/>
    <w:rsid w:val="001A54C8"/>
    <w:rsid w:val="001E1EF0"/>
    <w:rsid w:val="0029024C"/>
    <w:rsid w:val="0040306B"/>
    <w:rsid w:val="00406F60"/>
    <w:rsid w:val="00443755"/>
    <w:rsid w:val="004700F5"/>
    <w:rsid w:val="004A7995"/>
    <w:rsid w:val="004C6517"/>
    <w:rsid w:val="005112EE"/>
    <w:rsid w:val="0051758D"/>
    <w:rsid w:val="0051760F"/>
    <w:rsid w:val="005A6EB1"/>
    <w:rsid w:val="005C6357"/>
    <w:rsid w:val="0062184A"/>
    <w:rsid w:val="00633309"/>
    <w:rsid w:val="006C72BE"/>
    <w:rsid w:val="00745254"/>
    <w:rsid w:val="00790BF8"/>
    <w:rsid w:val="007B5228"/>
    <w:rsid w:val="00843DDB"/>
    <w:rsid w:val="0087288A"/>
    <w:rsid w:val="00890471"/>
    <w:rsid w:val="00984BFB"/>
    <w:rsid w:val="00991A5B"/>
    <w:rsid w:val="00992C20"/>
    <w:rsid w:val="00993BDF"/>
    <w:rsid w:val="009A3A5C"/>
    <w:rsid w:val="009F02B6"/>
    <w:rsid w:val="00A9120C"/>
    <w:rsid w:val="00AA0E1B"/>
    <w:rsid w:val="00AA58B5"/>
    <w:rsid w:val="00AC6BA1"/>
    <w:rsid w:val="00B010B3"/>
    <w:rsid w:val="00B35635"/>
    <w:rsid w:val="00B67C35"/>
    <w:rsid w:val="00B8267A"/>
    <w:rsid w:val="00B93BCA"/>
    <w:rsid w:val="00B94F88"/>
    <w:rsid w:val="00BF2570"/>
    <w:rsid w:val="00C32E22"/>
    <w:rsid w:val="00C517C4"/>
    <w:rsid w:val="00C82174"/>
    <w:rsid w:val="00CC116E"/>
    <w:rsid w:val="00CE7925"/>
    <w:rsid w:val="00CF351B"/>
    <w:rsid w:val="00D11C40"/>
    <w:rsid w:val="00D23574"/>
    <w:rsid w:val="00D24D62"/>
    <w:rsid w:val="00D33E87"/>
    <w:rsid w:val="00D61424"/>
    <w:rsid w:val="00D801A5"/>
    <w:rsid w:val="00DB7F1D"/>
    <w:rsid w:val="00DD0723"/>
    <w:rsid w:val="00E10300"/>
    <w:rsid w:val="00E363FA"/>
    <w:rsid w:val="00E42288"/>
    <w:rsid w:val="00E76384"/>
    <w:rsid w:val="00F37185"/>
    <w:rsid w:val="00FE1C87"/>
    <w:rsid w:val="00FE7A3A"/>
    <w:rsid w:val="00FF6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E1B"/>
    <w:pPr>
      <w:spacing w:before="150" w:after="225"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0E1B"/>
    <w:rPr>
      <w:i/>
      <w:iCs/>
    </w:rPr>
  </w:style>
  <w:style w:type="character" w:styleId="CommentReference">
    <w:name w:val="annotation reference"/>
    <w:basedOn w:val="DefaultParagraphFont"/>
    <w:uiPriority w:val="99"/>
    <w:semiHidden/>
    <w:unhideWhenUsed/>
    <w:rsid w:val="00D61424"/>
    <w:rPr>
      <w:sz w:val="16"/>
      <w:szCs w:val="16"/>
    </w:rPr>
  </w:style>
  <w:style w:type="paragraph" w:styleId="CommentText">
    <w:name w:val="annotation text"/>
    <w:basedOn w:val="Normal"/>
    <w:link w:val="CommentTextChar"/>
    <w:uiPriority w:val="99"/>
    <w:semiHidden/>
    <w:unhideWhenUsed/>
    <w:rsid w:val="00D61424"/>
    <w:pPr>
      <w:spacing w:line="240" w:lineRule="auto"/>
    </w:pPr>
    <w:rPr>
      <w:sz w:val="20"/>
      <w:szCs w:val="20"/>
    </w:rPr>
  </w:style>
  <w:style w:type="character" w:customStyle="1" w:styleId="CommentTextChar">
    <w:name w:val="Comment Text Char"/>
    <w:basedOn w:val="DefaultParagraphFont"/>
    <w:link w:val="CommentText"/>
    <w:uiPriority w:val="99"/>
    <w:semiHidden/>
    <w:rsid w:val="00D61424"/>
    <w:rPr>
      <w:sz w:val="20"/>
      <w:szCs w:val="20"/>
    </w:rPr>
  </w:style>
  <w:style w:type="paragraph" w:styleId="CommentSubject">
    <w:name w:val="annotation subject"/>
    <w:basedOn w:val="CommentText"/>
    <w:next w:val="CommentText"/>
    <w:link w:val="CommentSubjectChar"/>
    <w:uiPriority w:val="99"/>
    <w:semiHidden/>
    <w:unhideWhenUsed/>
    <w:rsid w:val="00D61424"/>
    <w:rPr>
      <w:b/>
      <w:bCs/>
    </w:rPr>
  </w:style>
  <w:style w:type="character" w:customStyle="1" w:styleId="CommentSubjectChar">
    <w:name w:val="Comment Subject Char"/>
    <w:basedOn w:val="CommentTextChar"/>
    <w:link w:val="CommentSubject"/>
    <w:uiPriority w:val="99"/>
    <w:semiHidden/>
    <w:rsid w:val="00D61424"/>
    <w:rPr>
      <w:b/>
      <w:bCs/>
    </w:rPr>
  </w:style>
  <w:style w:type="paragraph" w:styleId="BalloonText">
    <w:name w:val="Balloon Text"/>
    <w:basedOn w:val="Normal"/>
    <w:link w:val="BalloonTextChar"/>
    <w:uiPriority w:val="99"/>
    <w:semiHidden/>
    <w:unhideWhenUsed/>
    <w:rsid w:val="00D61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424"/>
    <w:rPr>
      <w:rFonts w:ascii="Tahoma" w:hAnsi="Tahoma" w:cs="Tahoma"/>
      <w:sz w:val="16"/>
      <w:szCs w:val="16"/>
    </w:rPr>
  </w:style>
  <w:style w:type="paragraph" w:customStyle="1" w:styleId="bodycopy">
    <w:name w:val="bodycopy"/>
    <w:basedOn w:val="Normal"/>
    <w:rsid w:val="004A7995"/>
    <w:pPr>
      <w:spacing w:before="100" w:beforeAutospacing="1" w:after="150" w:line="312" w:lineRule="atLeast"/>
    </w:pPr>
    <w:rPr>
      <w:rFonts w:ascii="Times New Roman" w:eastAsia="Times New Roman" w:hAnsi="Times New Roman" w:cs="Times New Roman"/>
      <w:color w:val="58585B"/>
      <w:sz w:val="20"/>
      <w:szCs w:val="20"/>
    </w:rPr>
  </w:style>
  <w:style w:type="paragraph" w:styleId="ListParagraph">
    <w:name w:val="List Paragraph"/>
    <w:basedOn w:val="Normal"/>
    <w:uiPriority w:val="34"/>
    <w:qFormat/>
    <w:rsid w:val="004A7995"/>
    <w:pPr>
      <w:ind w:left="720"/>
      <w:contextualSpacing/>
    </w:pPr>
  </w:style>
  <w:style w:type="character" w:styleId="Hyperlink">
    <w:name w:val="Hyperlink"/>
    <w:basedOn w:val="DefaultParagraphFont"/>
    <w:uiPriority w:val="99"/>
    <w:unhideWhenUsed/>
    <w:rsid w:val="00B8267A"/>
    <w:rPr>
      <w:color w:val="0000FF" w:themeColor="hyperlink"/>
      <w:u w:val="single"/>
    </w:rPr>
  </w:style>
  <w:style w:type="character" w:styleId="Strong">
    <w:name w:val="Strong"/>
    <w:basedOn w:val="DefaultParagraphFont"/>
    <w:uiPriority w:val="22"/>
    <w:qFormat/>
    <w:rsid w:val="001A166D"/>
    <w:rPr>
      <w:b/>
      <w:bCs/>
    </w:rPr>
  </w:style>
  <w:style w:type="paragraph" w:styleId="NoSpacing">
    <w:name w:val="No Spacing"/>
    <w:uiPriority w:val="1"/>
    <w:qFormat/>
    <w:rsid w:val="001A166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E7A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5427976">
      <w:bodyDiv w:val="1"/>
      <w:marLeft w:val="0"/>
      <w:marRight w:val="0"/>
      <w:marTop w:val="0"/>
      <w:marBottom w:val="0"/>
      <w:divBdr>
        <w:top w:val="none" w:sz="0" w:space="0" w:color="auto"/>
        <w:left w:val="none" w:sz="0" w:space="0" w:color="auto"/>
        <w:bottom w:val="none" w:sz="0" w:space="0" w:color="auto"/>
        <w:right w:val="none" w:sz="0" w:space="0" w:color="auto"/>
      </w:divBdr>
    </w:div>
    <w:div w:id="449084728">
      <w:bodyDiv w:val="1"/>
      <w:marLeft w:val="0"/>
      <w:marRight w:val="0"/>
      <w:marTop w:val="0"/>
      <w:marBottom w:val="0"/>
      <w:divBdr>
        <w:top w:val="none" w:sz="0" w:space="0" w:color="auto"/>
        <w:left w:val="none" w:sz="0" w:space="0" w:color="auto"/>
        <w:bottom w:val="none" w:sz="0" w:space="0" w:color="auto"/>
        <w:right w:val="none" w:sz="0" w:space="0" w:color="auto"/>
      </w:divBdr>
      <w:divsChild>
        <w:div w:id="1041898328">
          <w:marLeft w:val="0"/>
          <w:marRight w:val="0"/>
          <w:marTop w:val="0"/>
          <w:marBottom w:val="0"/>
          <w:divBdr>
            <w:top w:val="none" w:sz="0" w:space="0" w:color="auto"/>
            <w:left w:val="none" w:sz="0" w:space="0" w:color="auto"/>
            <w:bottom w:val="none" w:sz="0" w:space="0" w:color="auto"/>
            <w:right w:val="none" w:sz="0" w:space="0" w:color="auto"/>
          </w:divBdr>
          <w:divsChild>
            <w:div w:id="585769564">
              <w:marLeft w:val="0"/>
              <w:marRight w:val="-100"/>
              <w:marTop w:val="0"/>
              <w:marBottom w:val="0"/>
              <w:divBdr>
                <w:top w:val="none" w:sz="0" w:space="0" w:color="auto"/>
                <w:left w:val="none" w:sz="0" w:space="0" w:color="auto"/>
                <w:bottom w:val="none" w:sz="0" w:space="0" w:color="auto"/>
                <w:right w:val="none" w:sz="0" w:space="0" w:color="auto"/>
              </w:divBdr>
              <w:divsChild>
                <w:div w:id="1543208953">
                  <w:marLeft w:val="720"/>
                  <w:marRight w:val="720"/>
                  <w:marTop w:val="720"/>
                  <w:marBottom w:val="720"/>
                  <w:divBdr>
                    <w:top w:val="none" w:sz="0" w:space="0" w:color="auto"/>
                    <w:left w:val="none" w:sz="0" w:space="0" w:color="auto"/>
                    <w:bottom w:val="none" w:sz="0" w:space="0" w:color="auto"/>
                    <w:right w:val="none" w:sz="0" w:space="0" w:color="auto"/>
                  </w:divBdr>
                  <w:divsChild>
                    <w:div w:id="1201867632">
                      <w:marLeft w:val="0"/>
                      <w:marRight w:val="0"/>
                      <w:marTop w:val="150"/>
                      <w:marBottom w:val="0"/>
                      <w:divBdr>
                        <w:top w:val="none" w:sz="0" w:space="0" w:color="auto"/>
                        <w:left w:val="none" w:sz="0" w:space="0" w:color="auto"/>
                        <w:bottom w:val="single" w:sz="6" w:space="8" w:color="CCCCCC"/>
                        <w:right w:val="none" w:sz="0" w:space="0" w:color="auto"/>
                      </w:divBdr>
                      <w:divsChild>
                        <w:div w:id="2108185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05268536">
      <w:bodyDiv w:val="1"/>
      <w:marLeft w:val="0"/>
      <w:marRight w:val="0"/>
      <w:marTop w:val="0"/>
      <w:marBottom w:val="0"/>
      <w:divBdr>
        <w:top w:val="none" w:sz="0" w:space="0" w:color="auto"/>
        <w:left w:val="none" w:sz="0" w:space="0" w:color="auto"/>
        <w:bottom w:val="none" w:sz="0" w:space="0" w:color="auto"/>
        <w:right w:val="none" w:sz="0" w:space="0" w:color="auto"/>
      </w:divBdr>
    </w:div>
    <w:div w:id="1644315883">
      <w:bodyDiv w:val="1"/>
      <w:marLeft w:val="0"/>
      <w:marRight w:val="0"/>
      <w:marTop w:val="0"/>
      <w:marBottom w:val="0"/>
      <w:divBdr>
        <w:top w:val="none" w:sz="0" w:space="0" w:color="auto"/>
        <w:left w:val="none" w:sz="0" w:space="0" w:color="auto"/>
        <w:bottom w:val="none" w:sz="0" w:space="0" w:color="auto"/>
        <w:right w:val="none" w:sz="0" w:space="0" w:color="auto"/>
      </w:divBdr>
      <w:divsChild>
        <w:div w:id="1192692259">
          <w:marLeft w:val="0"/>
          <w:marRight w:val="0"/>
          <w:marTop w:val="0"/>
          <w:marBottom w:val="0"/>
          <w:divBdr>
            <w:top w:val="none" w:sz="0" w:space="0" w:color="auto"/>
            <w:left w:val="none" w:sz="0" w:space="0" w:color="auto"/>
            <w:bottom w:val="none" w:sz="0" w:space="0" w:color="auto"/>
            <w:right w:val="none" w:sz="0" w:space="0" w:color="auto"/>
          </w:divBdr>
          <w:divsChild>
            <w:div w:id="1076173637">
              <w:marLeft w:val="0"/>
              <w:marRight w:val="0"/>
              <w:marTop w:val="525"/>
              <w:marBottom w:val="0"/>
              <w:divBdr>
                <w:top w:val="none" w:sz="0" w:space="0" w:color="auto"/>
                <w:left w:val="none" w:sz="0" w:space="0" w:color="auto"/>
                <w:bottom w:val="none" w:sz="0" w:space="0" w:color="auto"/>
                <w:right w:val="none" w:sz="0" w:space="0" w:color="auto"/>
              </w:divBdr>
              <w:divsChild>
                <w:div w:id="746197512">
                  <w:marLeft w:val="0"/>
                  <w:marRight w:val="0"/>
                  <w:marTop w:val="0"/>
                  <w:marBottom w:val="0"/>
                  <w:divBdr>
                    <w:top w:val="none" w:sz="0" w:space="0" w:color="auto"/>
                    <w:left w:val="none" w:sz="0" w:space="0" w:color="auto"/>
                    <w:bottom w:val="none" w:sz="0" w:space="0" w:color="auto"/>
                    <w:right w:val="none" w:sz="0" w:space="0" w:color="auto"/>
                  </w:divBdr>
                  <w:divsChild>
                    <w:div w:id="187449089">
                      <w:marLeft w:val="0"/>
                      <w:marRight w:val="0"/>
                      <w:marTop w:val="0"/>
                      <w:marBottom w:val="150"/>
                      <w:divBdr>
                        <w:top w:val="none" w:sz="0" w:space="0" w:color="auto"/>
                        <w:left w:val="none" w:sz="0" w:space="0" w:color="auto"/>
                        <w:bottom w:val="none" w:sz="0" w:space="0" w:color="auto"/>
                        <w:right w:val="none" w:sz="0" w:space="0" w:color="auto"/>
                      </w:divBdr>
                      <w:divsChild>
                        <w:div w:id="1183394706">
                          <w:marLeft w:val="0"/>
                          <w:marRight w:val="0"/>
                          <w:marTop w:val="300"/>
                          <w:marBottom w:val="225"/>
                          <w:divBdr>
                            <w:top w:val="none" w:sz="0" w:space="0" w:color="auto"/>
                            <w:left w:val="none" w:sz="0" w:space="0" w:color="auto"/>
                            <w:bottom w:val="none" w:sz="0" w:space="0" w:color="auto"/>
                            <w:right w:val="none" w:sz="0" w:space="0" w:color="auto"/>
                          </w:divBdr>
                          <w:divsChild>
                            <w:div w:id="18566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090666">
      <w:bodyDiv w:val="1"/>
      <w:marLeft w:val="0"/>
      <w:marRight w:val="0"/>
      <w:marTop w:val="0"/>
      <w:marBottom w:val="0"/>
      <w:divBdr>
        <w:top w:val="none" w:sz="0" w:space="0" w:color="auto"/>
        <w:left w:val="none" w:sz="0" w:space="0" w:color="auto"/>
        <w:bottom w:val="none" w:sz="0" w:space="0" w:color="auto"/>
        <w:right w:val="none" w:sz="0" w:space="0" w:color="auto"/>
      </w:divBdr>
      <w:divsChild>
        <w:div w:id="438453485">
          <w:marLeft w:val="0"/>
          <w:marRight w:val="0"/>
          <w:marTop w:val="0"/>
          <w:marBottom w:val="0"/>
          <w:divBdr>
            <w:top w:val="none" w:sz="0" w:space="0" w:color="auto"/>
            <w:left w:val="none" w:sz="0" w:space="0" w:color="auto"/>
            <w:bottom w:val="none" w:sz="0" w:space="0" w:color="auto"/>
            <w:right w:val="none" w:sz="0" w:space="0" w:color="auto"/>
          </w:divBdr>
          <w:divsChild>
            <w:div w:id="1036547161">
              <w:marLeft w:val="0"/>
              <w:marRight w:val="0"/>
              <w:marTop w:val="525"/>
              <w:marBottom w:val="0"/>
              <w:divBdr>
                <w:top w:val="none" w:sz="0" w:space="0" w:color="auto"/>
                <w:left w:val="none" w:sz="0" w:space="0" w:color="auto"/>
                <w:bottom w:val="none" w:sz="0" w:space="0" w:color="auto"/>
                <w:right w:val="none" w:sz="0" w:space="0" w:color="auto"/>
              </w:divBdr>
              <w:divsChild>
                <w:div w:id="871847500">
                  <w:marLeft w:val="0"/>
                  <w:marRight w:val="0"/>
                  <w:marTop w:val="0"/>
                  <w:marBottom w:val="0"/>
                  <w:divBdr>
                    <w:top w:val="none" w:sz="0" w:space="0" w:color="auto"/>
                    <w:left w:val="none" w:sz="0" w:space="0" w:color="auto"/>
                    <w:bottom w:val="none" w:sz="0" w:space="0" w:color="auto"/>
                    <w:right w:val="none" w:sz="0" w:space="0" w:color="auto"/>
                  </w:divBdr>
                  <w:divsChild>
                    <w:div w:id="1784690790">
                      <w:marLeft w:val="0"/>
                      <w:marRight w:val="0"/>
                      <w:marTop w:val="0"/>
                      <w:marBottom w:val="150"/>
                      <w:divBdr>
                        <w:top w:val="none" w:sz="0" w:space="0" w:color="auto"/>
                        <w:left w:val="none" w:sz="0" w:space="0" w:color="auto"/>
                        <w:bottom w:val="none" w:sz="0" w:space="0" w:color="auto"/>
                        <w:right w:val="none" w:sz="0" w:space="0" w:color="auto"/>
                      </w:divBdr>
                      <w:divsChild>
                        <w:div w:id="1096904337">
                          <w:marLeft w:val="0"/>
                          <w:marRight w:val="0"/>
                          <w:marTop w:val="300"/>
                          <w:marBottom w:val="225"/>
                          <w:divBdr>
                            <w:top w:val="none" w:sz="0" w:space="0" w:color="auto"/>
                            <w:left w:val="none" w:sz="0" w:space="0" w:color="auto"/>
                            <w:bottom w:val="none" w:sz="0" w:space="0" w:color="auto"/>
                            <w:right w:val="none" w:sz="0" w:space="0" w:color="auto"/>
                          </w:divBdr>
                          <w:divsChild>
                            <w:div w:id="3854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692920">
      <w:bodyDiv w:val="1"/>
      <w:marLeft w:val="0"/>
      <w:marRight w:val="0"/>
      <w:marTop w:val="0"/>
      <w:marBottom w:val="0"/>
      <w:divBdr>
        <w:top w:val="none" w:sz="0" w:space="0" w:color="auto"/>
        <w:left w:val="none" w:sz="0" w:space="0" w:color="auto"/>
        <w:bottom w:val="none" w:sz="0" w:space="0" w:color="auto"/>
        <w:right w:val="none" w:sz="0" w:space="0" w:color="auto"/>
      </w:divBdr>
      <w:divsChild>
        <w:div w:id="2080055451">
          <w:marLeft w:val="0"/>
          <w:marRight w:val="0"/>
          <w:marTop w:val="0"/>
          <w:marBottom w:val="0"/>
          <w:divBdr>
            <w:top w:val="none" w:sz="0" w:space="0" w:color="auto"/>
            <w:left w:val="none" w:sz="0" w:space="0" w:color="auto"/>
            <w:bottom w:val="none" w:sz="0" w:space="0" w:color="auto"/>
            <w:right w:val="none" w:sz="0" w:space="0" w:color="auto"/>
          </w:divBdr>
          <w:divsChild>
            <w:div w:id="423647855">
              <w:marLeft w:val="0"/>
              <w:marRight w:val="0"/>
              <w:marTop w:val="525"/>
              <w:marBottom w:val="0"/>
              <w:divBdr>
                <w:top w:val="none" w:sz="0" w:space="0" w:color="auto"/>
                <w:left w:val="none" w:sz="0" w:space="0" w:color="auto"/>
                <w:bottom w:val="none" w:sz="0" w:space="0" w:color="auto"/>
                <w:right w:val="none" w:sz="0" w:space="0" w:color="auto"/>
              </w:divBdr>
              <w:divsChild>
                <w:div w:id="176892248">
                  <w:marLeft w:val="0"/>
                  <w:marRight w:val="0"/>
                  <w:marTop w:val="0"/>
                  <w:marBottom w:val="0"/>
                  <w:divBdr>
                    <w:top w:val="none" w:sz="0" w:space="0" w:color="auto"/>
                    <w:left w:val="none" w:sz="0" w:space="0" w:color="auto"/>
                    <w:bottom w:val="none" w:sz="0" w:space="0" w:color="auto"/>
                    <w:right w:val="none" w:sz="0" w:space="0" w:color="auto"/>
                  </w:divBdr>
                  <w:divsChild>
                    <w:div w:id="466555148">
                      <w:marLeft w:val="0"/>
                      <w:marRight w:val="0"/>
                      <w:marTop w:val="0"/>
                      <w:marBottom w:val="150"/>
                      <w:divBdr>
                        <w:top w:val="none" w:sz="0" w:space="0" w:color="auto"/>
                        <w:left w:val="none" w:sz="0" w:space="0" w:color="auto"/>
                        <w:bottom w:val="none" w:sz="0" w:space="0" w:color="auto"/>
                        <w:right w:val="none" w:sz="0" w:space="0" w:color="auto"/>
                      </w:divBdr>
                      <w:divsChild>
                        <w:div w:id="1707754174">
                          <w:marLeft w:val="0"/>
                          <w:marRight w:val="0"/>
                          <w:marTop w:val="300"/>
                          <w:marBottom w:val="225"/>
                          <w:divBdr>
                            <w:top w:val="none" w:sz="0" w:space="0" w:color="auto"/>
                            <w:left w:val="none" w:sz="0" w:space="0" w:color="auto"/>
                            <w:bottom w:val="none" w:sz="0" w:space="0" w:color="auto"/>
                            <w:right w:val="none" w:sz="0" w:space="0" w:color="auto"/>
                          </w:divBdr>
                          <w:divsChild>
                            <w:div w:id="9636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356216">
      <w:bodyDiv w:val="1"/>
      <w:marLeft w:val="0"/>
      <w:marRight w:val="0"/>
      <w:marTop w:val="0"/>
      <w:marBottom w:val="0"/>
      <w:divBdr>
        <w:top w:val="none" w:sz="0" w:space="0" w:color="auto"/>
        <w:left w:val="none" w:sz="0" w:space="0" w:color="auto"/>
        <w:bottom w:val="none" w:sz="0" w:space="0" w:color="auto"/>
        <w:right w:val="none" w:sz="0" w:space="0" w:color="auto"/>
      </w:divBdr>
      <w:divsChild>
        <w:div w:id="824473608">
          <w:marLeft w:val="0"/>
          <w:marRight w:val="0"/>
          <w:marTop w:val="0"/>
          <w:marBottom w:val="0"/>
          <w:divBdr>
            <w:top w:val="none" w:sz="0" w:space="0" w:color="auto"/>
            <w:left w:val="none" w:sz="0" w:space="0" w:color="auto"/>
            <w:bottom w:val="none" w:sz="0" w:space="0" w:color="auto"/>
            <w:right w:val="none" w:sz="0" w:space="0" w:color="auto"/>
          </w:divBdr>
          <w:divsChild>
            <w:div w:id="1583372155">
              <w:marLeft w:val="0"/>
              <w:marRight w:val="0"/>
              <w:marTop w:val="525"/>
              <w:marBottom w:val="0"/>
              <w:divBdr>
                <w:top w:val="none" w:sz="0" w:space="0" w:color="auto"/>
                <w:left w:val="none" w:sz="0" w:space="0" w:color="auto"/>
                <w:bottom w:val="none" w:sz="0" w:space="0" w:color="auto"/>
                <w:right w:val="none" w:sz="0" w:space="0" w:color="auto"/>
              </w:divBdr>
              <w:divsChild>
                <w:div w:id="425805424">
                  <w:marLeft w:val="0"/>
                  <w:marRight w:val="0"/>
                  <w:marTop w:val="0"/>
                  <w:marBottom w:val="0"/>
                  <w:divBdr>
                    <w:top w:val="none" w:sz="0" w:space="0" w:color="auto"/>
                    <w:left w:val="none" w:sz="0" w:space="0" w:color="auto"/>
                    <w:bottom w:val="none" w:sz="0" w:space="0" w:color="auto"/>
                    <w:right w:val="none" w:sz="0" w:space="0" w:color="auto"/>
                  </w:divBdr>
                  <w:divsChild>
                    <w:div w:id="1284996923">
                      <w:marLeft w:val="0"/>
                      <w:marRight w:val="0"/>
                      <w:marTop w:val="0"/>
                      <w:marBottom w:val="150"/>
                      <w:divBdr>
                        <w:top w:val="none" w:sz="0" w:space="0" w:color="auto"/>
                        <w:left w:val="none" w:sz="0" w:space="0" w:color="auto"/>
                        <w:bottom w:val="none" w:sz="0" w:space="0" w:color="auto"/>
                        <w:right w:val="none" w:sz="0" w:space="0" w:color="auto"/>
                      </w:divBdr>
                      <w:divsChild>
                        <w:div w:id="524711065">
                          <w:marLeft w:val="0"/>
                          <w:marRight w:val="0"/>
                          <w:marTop w:val="300"/>
                          <w:marBottom w:val="225"/>
                          <w:divBdr>
                            <w:top w:val="none" w:sz="0" w:space="0" w:color="auto"/>
                            <w:left w:val="none" w:sz="0" w:space="0" w:color="auto"/>
                            <w:bottom w:val="none" w:sz="0" w:space="0" w:color="auto"/>
                            <w:right w:val="none" w:sz="0" w:space="0" w:color="auto"/>
                          </w:divBdr>
                          <w:divsChild>
                            <w:div w:id="16668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925273">
      <w:bodyDiv w:val="1"/>
      <w:marLeft w:val="0"/>
      <w:marRight w:val="0"/>
      <w:marTop w:val="0"/>
      <w:marBottom w:val="0"/>
      <w:divBdr>
        <w:top w:val="none" w:sz="0" w:space="0" w:color="auto"/>
        <w:left w:val="none" w:sz="0" w:space="0" w:color="auto"/>
        <w:bottom w:val="none" w:sz="0" w:space="0" w:color="auto"/>
        <w:right w:val="none" w:sz="0" w:space="0" w:color="auto"/>
      </w:divBdr>
      <w:divsChild>
        <w:div w:id="954604749">
          <w:marLeft w:val="0"/>
          <w:marRight w:val="0"/>
          <w:marTop w:val="0"/>
          <w:marBottom w:val="0"/>
          <w:divBdr>
            <w:top w:val="none" w:sz="0" w:space="0" w:color="auto"/>
            <w:left w:val="none" w:sz="0" w:space="0" w:color="auto"/>
            <w:bottom w:val="none" w:sz="0" w:space="0" w:color="auto"/>
            <w:right w:val="none" w:sz="0" w:space="0" w:color="auto"/>
          </w:divBdr>
          <w:divsChild>
            <w:div w:id="780759253">
              <w:marLeft w:val="0"/>
              <w:marRight w:val="0"/>
              <w:marTop w:val="0"/>
              <w:marBottom w:val="0"/>
              <w:divBdr>
                <w:top w:val="none" w:sz="0" w:space="0" w:color="auto"/>
                <w:left w:val="none" w:sz="0" w:space="0" w:color="auto"/>
                <w:bottom w:val="none" w:sz="0" w:space="0" w:color="auto"/>
                <w:right w:val="none" w:sz="0" w:space="0" w:color="auto"/>
              </w:divBdr>
              <w:divsChild>
                <w:div w:id="1009258164">
                  <w:marLeft w:val="0"/>
                  <w:marRight w:val="0"/>
                  <w:marTop w:val="0"/>
                  <w:marBottom w:val="0"/>
                  <w:divBdr>
                    <w:top w:val="none" w:sz="0" w:space="0" w:color="auto"/>
                    <w:left w:val="none" w:sz="0" w:space="0" w:color="auto"/>
                    <w:bottom w:val="none" w:sz="0" w:space="0" w:color="auto"/>
                    <w:right w:val="none" w:sz="0" w:space="0" w:color="auto"/>
                  </w:divBdr>
                  <w:divsChild>
                    <w:div w:id="465464499">
                      <w:marLeft w:val="0"/>
                      <w:marRight w:val="0"/>
                      <w:marTop w:val="0"/>
                      <w:marBottom w:val="0"/>
                      <w:divBdr>
                        <w:top w:val="none" w:sz="0" w:space="0" w:color="auto"/>
                        <w:left w:val="none" w:sz="0" w:space="0" w:color="auto"/>
                        <w:bottom w:val="none" w:sz="0" w:space="0" w:color="auto"/>
                        <w:right w:val="none" w:sz="0" w:space="0" w:color="auto"/>
                      </w:divBdr>
                      <w:divsChild>
                        <w:div w:id="1543857910">
                          <w:marLeft w:val="0"/>
                          <w:marRight w:val="0"/>
                          <w:marTop w:val="0"/>
                          <w:marBottom w:val="0"/>
                          <w:divBdr>
                            <w:top w:val="none" w:sz="0" w:space="0" w:color="auto"/>
                            <w:left w:val="none" w:sz="0" w:space="0" w:color="auto"/>
                            <w:bottom w:val="none" w:sz="0" w:space="0" w:color="auto"/>
                            <w:right w:val="none" w:sz="0" w:space="0" w:color="auto"/>
                          </w:divBdr>
                          <w:divsChild>
                            <w:div w:id="12286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4099">
      <w:bodyDiv w:val="1"/>
      <w:marLeft w:val="0"/>
      <w:marRight w:val="0"/>
      <w:marTop w:val="0"/>
      <w:marBottom w:val="0"/>
      <w:divBdr>
        <w:top w:val="none" w:sz="0" w:space="0" w:color="auto"/>
        <w:left w:val="none" w:sz="0" w:space="0" w:color="auto"/>
        <w:bottom w:val="none" w:sz="0" w:space="0" w:color="auto"/>
        <w:right w:val="none" w:sz="0" w:space="0" w:color="auto"/>
      </w:divBdr>
      <w:divsChild>
        <w:div w:id="732509528">
          <w:marLeft w:val="0"/>
          <w:marRight w:val="0"/>
          <w:marTop w:val="0"/>
          <w:marBottom w:val="0"/>
          <w:divBdr>
            <w:top w:val="none" w:sz="0" w:space="0" w:color="auto"/>
            <w:left w:val="none" w:sz="0" w:space="0" w:color="auto"/>
            <w:bottom w:val="none" w:sz="0" w:space="0" w:color="auto"/>
            <w:right w:val="none" w:sz="0" w:space="0" w:color="auto"/>
          </w:divBdr>
          <w:divsChild>
            <w:div w:id="1176846125">
              <w:marLeft w:val="0"/>
              <w:marRight w:val="0"/>
              <w:marTop w:val="475"/>
              <w:marBottom w:val="0"/>
              <w:divBdr>
                <w:top w:val="none" w:sz="0" w:space="0" w:color="auto"/>
                <w:left w:val="none" w:sz="0" w:space="0" w:color="auto"/>
                <w:bottom w:val="none" w:sz="0" w:space="0" w:color="auto"/>
                <w:right w:val="none" w:sz="0" w:space="0" w:color="auto"/>
              </w:divBdr>
              <w:divsChild>
                <w:div w:id="1855530822">
                  <w:marLeft w:val="0"/>
                  <w:marRight w:val="0"/>
                  <w:marTop w:val="0"/>
                  <w:marBottom w:val="0"/>
                  <w:divBdr>
                    <w:top w:val="none" w:sz="0" w:space="0" w:color="auto"/>
                    <w:left w:val="none" w:sz="0" w:space="0" w:color="auto"/>
                    <w:bottom w:val="none" w:sz="0" w:space="0" w:color="auto"/>
                    <w:right w:val="none" w:sz="0" w:space="0" w:color="auto"/>
                  </w:divBdr>
                  <w:divsChild>
                    <w:div w:id="261425629">
                      <w:marLeft w:val="0"/>
                      <w:marRight w:val="0"/>
                      <w:marTop w:val="0"/>
                      <w:marBottom w:val="136"/>
                      <w:divBdr>
                        <w:top w:val="none" w:sz="0" w:space="0" w:color="auto"/>
                        <w:left w:val="none" w:sz="0" w:space="0" w:color="auto"/>
                        <w:bottom w:val="none" w:sz="0" w:space="0" w:color="auto"/>
                        <w:right w:val="none" w:sz="0" w:space="0" w:color="auto"/>
                      </w:divBdr>
                      <w:divsChild>
                        <w:div w:id="1990594982">
                          <w:marLeft w:val="0"/>
                          <w:marRight w:val="0"/>
                          <w:marTop w:val="272"/>
                          <w:marBottom w:val="204"/>
                          <w:divBdr>
                            <w:top w:val="none" w:sz="0" w:space="0" w:color="auto"/>
                            <w:left w:val="none" w:sz="0" w:space="0" w:color="auto"/>
                            <w:bottom w:val="none" w:sz="0" w:space="0" w:color="auto"/>
                            <w:right w:val="none" w:sz="0" w:space="0" w:color="auto"/>
                          </w:divBdr>
                          <w:divsChild>
                            <w:div w:id="554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545527">
      <w:bodyDiv w:val="1"/>
      <w:marLeft w:val="0"/>
      <w:marRight w:val="0"/>
      <w:marTop w:val="0"/>
      <w:marBottom w:val="0"/>
      <w:divBdr>
        <w:top w:val="none" w:sz="0" w:space="0" w:color="auto"/>
        <w:left w:val="none" w:sz="0" w:space="0" w:color="auto"/>
        <w:bottom w:val="none" w:sz="0" w:space="0" w:color="auto"/>
        <w:right w:val="none" w:sz="0" w:space="0" w:color="auto"/>
      </w:divBdr>
      <w:divsChild>
        <w:div w:id="314070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agc.org/2013/07/05/agc-supports-epa-proposal-to-withdraw-nationwide-numeric-limit-on-dirt-in-stormwater/" TargetMode="External"/><Relationship Id="rId13" Type="http://schemas.openxmlformats.org/officeDocument/2006/relationships/hyperlink" Target="http://news.agc.org/wp-content/uploads/2013/12/Enviro-Grps-Petition-SW-Retrofit-Existing-Sites4.pdf" TargetMode="External"/><Relationship Id="rId18" Type="http://schemas.openxmlformats.org/officeDocument/2006/relationships/hyperlink" Target="http://news.agc.org/2013/07/29/house-passes-agc-supported-coal-ash-bill/" TargetMode="External"/><Relationship Id="rId3" Type="http://schemas.openxmlformats.org/officeDocument/2006/relationships/settings" Target="settings.xml"/><Relationship Id="rId21" Type="http://schemas.openxmlformats.org/officeDocument/2006/relationships/hyperlink" Target="https://www.federalregister.gov/articles/2014/02/07/2014-01352/hazardous-waste-management-system-modification-of-the-hazardous-waste-manifest-system-electronic?utm_campaign=subscription+mailing+list&amp;utm_medium=email&amp;utm_source=federalregister.gov" TargetMode="External"/><Relationship Id="rId7" Type="http://schemas.openxmlformats.org/officeDocument/2006/relationships/hyperlink" Target="http://news.agc.org/2013/04/19/epa-proposes-to-withdraw-numeric-limit-from-construction-stormwater-rule/" TargetMode="External"/><Relationship Id="rId12" Type="http://schemas.openxmlformats.org/officeDocument/2006/relationships/hyperlink" Target="http://news.agc.org/2013/12/02/epa-sets-the-stage-for-new-stormwater-rule-with-green-infrastructure-strategy-and-case-studies-2/" TargetMode="External"/><Relationship Id="rId17" Type="http://schemas.openxmlformats.org/officeDocument/2006/relationships/hyperlink" Target="http://news.agc.org/2014/01/24/epa-requesting-greater-citizen-participation-in-stormwater-permit-review-enforcement-process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ews.agc.org/2013/08/29/proposed-federal-rule-would-give-public-online-access-to-stormwater-permit-information/" TargetMode="External"/><Relationship Id="rId20" Type="http://schemas.openxmlformats.org/officeDocument/2006/relationships/hyperlink" Target="http://news.agc.org/2014/02/11/epa-finalizes-first-of-two-e-manifest-rules/" TargetMode="External"/><Relationship Id="rId1" Type="http://schemas.openxmlformats.org/officeDocument/2006/relationships/numbering" Target="numbering.xml"/><Relationship Id="rId6" Type="http://schemas.openxmlformats.org/officeDocument/2006/relationships/hyperlink" Target="http://water.epa.gov/scitech/wastetech/guide/construction/index.cfm" TargetMode="External"/><Relationship Id="rId11" Type="http://schemas.openxmlformats.org/officeDocument/2006/relationships/hyperlink" Target="http://news.agc.org/2014/01/24/epa-requesting-greater-citizen-participation-in-stormwater-permit-review-enforcement-processes/" TargetMode="External"/><Relationship Id="rId24" Type="http://schemas.openxmlformats.org/officeDocument/2006/relationships/fontTable" Target="fontTable.xml"/><Relationship Id="rId5" Type="http://schemas.openxmlformats.org/officeDocument/2006/relationships/hyperlink" Target="http://resources.regulations.gov/public/component/main?main=UnifiedAgenda" TargetMode="External"/><Relationship Id="rId15" Type="http://schemas.openxmlformats.org/officeDocument/2006/relationships/hyperlink" Target="https://laxcr9.callinfo.com/interface/flashView.jsp?uri=services/laxcr9/core&amp;uid36=v5oai4&amp;simple=true&amp;mmid=0&amp;flashSk=q9excn&amp;flashDL=pond8-core&amp;signed=null&amp;jvm=FlashWIN_12_0_0_70" TargetMode="External"/><Relationship Id="rId23" Type="http://schemas.openxmlformats.org/officeDocument/2006/relationships/hyperlink" Target="mailto:pilconisl@agc.org" TargetMode="External"/><Relationship Id="rId10" Type="http://schemas.openxmlformats.org/officeDocument/2006/relationships/hyperlink" Target="http://news.agc.org/2013/10/30/epa-proposes-reissuance-of-general-permit-for-stormwater-discharges-from-industrial-activities/" TargetMode="External"/><Relationship Id="rId19" Type="http://schemas.openxmlformats.org/officeDocument/2006/relationships/hyperlink" Target="http://news.agc.org/2014/02/11/agc-comments-on-epas-draft-lead-survey-for-building-contractors/" TargetMode="External"/><Relationship Id="rId4" Type="http://schemas.openxmlformats.org/officeDocument/2006/relationships/webSettings" Target="webSettings.xml"/><Relationship Id="rId9" Type="http://schemas.openxmlformats.org/officeDocument/2006/relationships/hyperlink" Target="http://news.agc.org/2012/02/22/agc-steers-epa-clear-of-environmental-extremes-in-2012-stormwater-permit/" TargetMode="External"/><Relationship Id="rId14" Type="http://schemas.openxmlformats.org/officeDocument/2006/relationships/hyperlink" Target="http://news.agc.org/2013/12/03/agc-briefs-congressional-staff-about-federal-clean-water-act-issues-2/" TargetMode="External"/><Relationship Id="rId22" Type="http://schemas.openxmlformats.org/officeDocument/2006/relationships/hyperlink" Target="http://www.newrepublic.com/article/politics/the-sub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dc:creator>
  <cp:lastModifiedBy>woodl</cp:lastModifiedBy>
  <cp:revision>6</cp:revision>
  <cp:lastPrinted>2014-02-27T22:01:00Z</cp:lastPrinted>
  <dcterms:created xsi:type="dcterms:W3CDTF">2014-02-27T21:59:00Z</dcterms:created>
  <dcterms:modified xsi:type="dcterms:W3CDTF">2014-02-28T04:18:00Z</dcterms:modified>
</cp:coreProperties>
</file>