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DA" w:rsidRPr="003E3E44" w:rsidRDefault="008A2D4B" w:rsidP="00136DC0">
      <w:pPr>
        <w:pStyle w:val="Heading3"/>
        <w:spacing w:after="120" w:line="240" w:lineRule="auto"/>
        <w:ind w:left="-90" w:right="-180"/>
        <w:rPr>
          <w:rFonts w:asciiTheme="minorHAnsi" w:hAnsiTheme="minorHAnsi"/>
          <w:color w:val="000000" w:themeColor="text1"/>
          <w:sz w:val="20"/>
          <w:szCs w:val="20"/>
        </w:rPr>
      </w:pPr>
      <w:r w:rsidRPr="003E3E44">
        <w:rPr>
          <w:rFonts w:asciiTheme="minorHAnsi" w:hAnsiTheme="minorHAnsi"/>
          <w:color w:val="000000" w:themeColor="text1"/>
          <w:sz w:val="20"/>
          <w:szCs w:val="20"/>
        </w:rPr>
        <w:t>Background</w:t>
      </w:r>
      <w:r w:rsidR="003E3E44">
        <w:rPr>
          <w:rFonts w:asciiTheme="minorHAnsi" w:hAnsiTheme="minorHAnsi"/>
          <w:color w:val="000000" w:themeColor="text1"/>
          <w:sz w:val="20"/>
          <w:szCs w:val="20"/>
        </w:rPr>
        <w:t>:</w:t>
      </w:r>
    </w:p>
    <w:p w:rsidR="00F651BD" w:rsidRPr="00F651BD" w:rsidRDefault="00FE26AF" w:rsidP="00F67034">
      <w:pPr>
        <w:pStyle w:val="Heading3"/>
        <w:spacing w:before="120" w:line="240" w:lineRule="auto"/>
        <w:ind w:left="-90" w:right="-180"/>
        <w:rPr>
          <w:rFonts w:asciiTheme="minorHAnsi" w:hAnsiTheme="minorHAnsi"/>
          <w:b w:val="0"/>
          <w:color w:val="auto"/>
        </w:rPr>
      </w:pPr>
      <w:r w:rsidRPr="007F0549">
        <w:rPr>
          <w:rFonts w:asciiTheme="minorHAnsi" w:hAnsiTheme="minorHAnsi"/>
          <w:b w:val="0"/>
          <w:color w:val="auto"/>
          <w:sz w:val="20"/>
        </w:rPr>
        <w:t>On August 23, 2013, t</w:t>
      </w:r>
      <w:r w:rsidR="00F651BD" w:rsidRPr="007F0549">
        <w:rPr>
          <w:rFonts w:asciiTheme="minorHAnsi" w:hAnsiTheme="minorHAnsi"/>
          <w:b w:val="0"/>
          <w:color w:val="auto"/>
          <w:sz w:val="20"/>
        </w:rPr>
        <w:t>he Occupational Safety and Health Administration (OSHA) proposed</w:t>
      </w:r>
      <w:r w:rsidRPr="007F0549">
        <w:rPr>
          <w:rFonts w:asciiTheme="minorHAnsi" w:hAnsiTheme="minorHAnsi"/>
          <w:b w:val="0"/>
          <w:color w:val="auto"/>
          <w:sz w:val="20"/>
        </w:rPr>
        <w:t xml:space="preserve"> a</w:t>
      </w:r>
      <w:r w:rsidR="00F651BD" w:rsidRPr="007F0549">
        <w:rPr>
          <w:rFonts w:asciiTheme="minorHAnsi" w:hAnsiTheme="minorHAnsi"/>
          <w:b w:val="0"/>
          <w:color w:val="auto"/>
          <w:sz w:val="20"/>
        </w:rPr>
        <w:t xml:space="preserve"> rule to reduce </w:t>
      </w:r>
      <w:r w:rsidR="00F773FA">
        <w:rPr>
          <w:rFonts w:asciiTheme="minorHAnsi" w:hAnsiTheme="minorHAnsi"/>
          <w:b w:val="0"/>
          <w:color w:val="auto"/>
          <w:sz w:val="20"/>
        </w:rPr>
        <w:t>the permissible exposure limit (PEL)</w:t>
      </w:r>
      <w:r w:rsidR="00F651BD" w:rsidRPr="007F0549">
        <w:rPr>
          <w:rFonts w:asciiTheme="minorHAnsi" w:hAnsiTheme="minorHAnsi"/>
          <w:b w:val="0"/>
          <w:color w:val="auto"/>
          <w:sz w:val="20"/>
        </w:rPr>
        <w:t xml:space="preserve"> to airborne crystalline silica </w:t>
      </w:r>
      <w:r w:rsidRPr="007F0549">
        <w:rPr>
          <w:rFonts w:asciiTheme="minorHAnsi" w:hAnsiTheme="minorHAnsi"/>
          <w:b w:val="0"/>
          <w:color w:val="auto"/>
          <w:sz w:val="20"/>
        </w:rPr>
        <w:t>in general/maritime industry and construction industry</w:t>
      </w:r>
      <w:r w:rsidR="007F0549">
        <w:rPr>
          <w:rFonts w:asciiTheme="minorHAnsi" w:hAnsiTheme="minorHAnsi"/>
          <w:b w:val="0"/>
          <w:color w:val="auto"/>
          <w:sz w:val="20"/>
        </w:rPr>
        <w:t xml:space="preserve"> in half to 50 micrograms/m3</w:t>
      </w:r>
      <w:r w:rsidRPr="007F0549">
        <w:rPr>
          <w:rFonts w:asciiTheme="minorHAnsi" w:hAnsiTheme="minorHAnsi"/>
          <w:b w:val="0"/>
          <w:color w:val="auto"/>
          <w:sz w:val="20"/>
        </w:rPr>
        <w:t>.</w:t>
      </w:r>
      <w:r w:rsidR="006440AB">
        <w:rPr>
          <w:rFonts w:asciiTheme="minorHAnsi" w:hAnsiTheme="minorHAnsi"/>
          <w:b w:val="0"/>
          <w:color w:val="auto"/>
          <w:sz w:val="20"/>
        </w:rPr>
        <w:t xml:space="preserve">  OSHA estimates </w:t>
      </w:r>
      <w:r w:rsidR="007B43EB">
        <w:rPr>
          <w:rFonts w:asciiTheme="minorHAnsi" w:hAnsiTheme="minorHAnsi"/>
          <w:b w:val="0"/>
          <w:color w:val="auto"/>
          <w:sz w:val="20"/>
        </w:rPr>
        <w:t>that the proposed rule will impact 477,000 establishments, 1.85 million workers, and carry an annualized compliance cost of $511 million dollars for the construction industry.</w:t>
      </w:r>
      <w:r w:rsidR="00FD662D">
        <w:rPr>
          <w:rFonts w:asciiTheme="minorHAnsi" w:hAnsiTheme="minorHAnsi"/>
          <w:b w:val="0"/>
          <w:color w:val="auto"/>
          <w:sz w:val="20"/>
        </w:rPr>
        <w:t xml:space="preserve">  We believe it to be much higher but need you to provide us with data to prove that.</w:t>
      </w:r>
    </w:p>
    <w:p w:rsidR="007F0549" w:rsidRDefault="007F0549" w:rsidP="00F67034">
      <w:pPr>
        <w:pStyle w:val="Heading3"/>
        <w:spacing w:before="120" w:line="240" w:lineRule="auto"/>
        <w:ind w:left="-90" w:right="-18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Other provisions</w:t>
      </w:r>
      <w:r w:rsidR="00FD662D">
        <w:rPr>
          <w:rFonts w:asciiTheme="minorHAnsi" w:hAnsiTheme="minorHAnsi"/>
          <w:color w:val="000000" w:themeColor="text1"/>
          <w:sz w:val="20"/>
          <w:szCs w:val="20"/>
        </w:rPr>
        <w:t xml:space="preserve"> that will add costs</w:t>
      </w:r>
      <w:r>
        <w:rPr>
          <w:rFonts w:asciiTheme="minorHAnsi" w:hAnsiTheme="minorHAnsi"/>
          <w:color w:val="000000" w:themeColor="text1"/>
          <w:sz w:val="20"/>
          <w:szCs w:val="20"/>
        </w:rPr>
        <w:t>:</w:t>
      </w:r>
    </w:p>
    <w:p w:rsidR="007F0549" w:rsidRPr="005801E3" w:rsidRDefault="00F773FA" w:rsidP="007F0549">
      <w:pPr>
        <w:pStyle w:val="ListParagraph"/>
        <w:numPr>
          <w:ilvl w:val="0"/>
          <w:numId w:val="22"/>
        </w:numPr>
        <w:rPr>
          <w:sz w:val="20"/>
        </w:rPr>
      </w:pPr>
      <w:r w:rsidRPr="005801E3">
        <w:rPr>
          <w:sz w:val="20"/>
        </w:rPr>
        <w:t xml:space="preserve">Require employers </w:t>
      </w:r>
      <w:r w:rsidR="00776460" w:rsidRPr="005801E3">
        <w:rPr>
          <w:sz w:val="20"/>
        </w:rPr>
        <w:t>to conduct initial and period</w:t>
      </w:r>
      <w:r w:rsidR="0078478A">
        <w:rPr>
          <w:sz w:val="20"/>
        </w:rPr>
        <w:t>ic</w:t>
      </w:r>
      <w:r w:rsidR="00776460" w:rsidRPr="005801E3">
        <w:rPr>
          <w:sz w:val="20"/>
        </w:rPr>
        <w:t xml:space="preserve"> exposure assessments</w:t>
      </w:r>
      <w:r w:rsidRPr="005801E3">
        <w:rPr>
          <w:sz w:val="20"/>
        </w:rPr>
        <w:t xml:space="preserve"> (air samples)</w:t>
      </w:r>
      <w:r w:rsidR="00776460" w:rsidRPr="005801E3">
        <w:rPr>
          <w:sz w:val="20"/>
        </w:rPr>
        <w:t xml:space="preserve"> for </w:t>
      </w:r>
      <w:proofErr w:type="spellStart"/>
      <w:r w:rsidR="00776460" w:rsidRPr="005801E3">
        <w:rPr>
          <w:sz w:val="20"/>
        </w:rPr>
        <w:t>respirable</w:t>
      </w:r>
      <w:proofErr w:type="spellEnd"/>
      <w:r w:rsidR="00776460" w:rsidRPr="005801E3">
        <w:rPr>
          <w:sz w:val="20"/>
        </w:rPr>
        <w:t xml:space="preserve"> crystalline silica as often as every three months.</w:t>
      </w:r>
    </w:p>
    <w:p w:rsidR="00776460" w:rsidRPr="005801E3" w:rsidRDefault="00F773FA" w:rsidP="007F0549">
      <w:pPr>
        <w:pStyle w:val="ListParagraph"/>
        <w:numPr>
          <w:ilvl w:val="0"/>
          <w:numId w:val="22"/>
        </w:numPr>
        <w:rPr>
          <w:sz w:val="20"/>
        </w:rPr>
      </w:pPr>
      <w:r w:rsidRPr="005801E3">
        <w:rPr>
          <w:sz w:val="20"/>
        </w:rPr>
        <w:t>Require employers to conduct air sampling for each shift, job classification and work area.</w:t>
      </w:r>
    </w:p>
    <w:p w:rsidR="00F773FA" w:rsidRPr="005801E3" w:rsidRDefault="00F773FA" w:rsidP="007F0549">
      <w:pPr>
        <w:pStyle w:val="ListParagraph"/>
        <w:numPr>
          <w:ilvl w:val="0"/>
          <w:numId w:val="22"/>
        </w:numPr>
        <w:rPr>
          <w:sz w:val="20"/>
        </w:rPr>
      </w:pPr>
      <w:r w:rsidRPr="005801E3">
        <w:rPr>
          <w:sz w:val="20"/>
        </w:rPr>
        <w:t>Require employers to establish regulated areas or written access controls plans which could impact scheduling.</w:t>
      </w:r>
    </w:p>
    <w:p w:rsidR="00F773FA" w:rsidRPr="005801E3" w:rsidRDefault="00F773FA" w:rsidP="007F0549">
      <w:pPr>
        <w:pStyle w:val="ListParagraph"/>
        <w:numPr>
          <w:ilvl w:val="0"/>
          <w:numId w:val="22"/>
        </w:numPr>
        <w:rPr>
          <w:sz w:val="20"/>
        </w:rPr>
      </w:pPr>
      <w:r w:rsidRPr="005801E3">
        <w:rPr>
          <w:sz w:val="20"/>
        </w:rPr>
        <w:t xml:space="preserve">Require employers to offer no cost medical surveillance for employees exposed to levels above the PEL for 30 or more days per year and provide </w:t>
      </w:r>
      <w:r w:rsidR="005801E3" w:rsidRPr="005801E3">
        <w:rPr>
          <w:sz w:val="20"/>
        </w:rPr>
        <w:t>the results to employees no later than 45 days post-examination.</w:t>
      </w:r>
    </w:p>
    <w:p w:rsidR="005801E3" w:rsidRPr="005801E3" w:rsidRDefault="005801E3" w:rsidP="007F0549">
      <w:pPr>
        <w:pStyle w:val="ListParagraph"/>
        <w:numPr>
          <w:ilvl w:val="0"/>
          <w:numId w:val="22"/>
        </w:numPr>
        <w:rPr>
          <w:sz w:val="20"/>
        </w:rPr>
      </w:pPr>
      <w:r w:rsidRPr="005801E3">
        <w:rPr>
          <w:sz w:val="20"/>
        </w:rPr>
        <w:t>Require employers to implement engineering and work practice controls to reduce exposures below the PEL before providing respirators.</w:t>
      </w:r>
    </w:p>
    <w:p w:rsidR="00E46D9D" w:rsidRDefault="00FD662D" w:rsidP="00E46D9D">
      <w:pPr>
        <w:pStyle w:val="Heading3"/>
        <w:spacing w:before="120" w:line="240" w:lineRule="auto"/>
        <w:ind w:left="-90" w:right="-180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How do these e</w:t>
      </w:r>
      <w:r w:rsidR="00E46D9D">
        <w:rPr>
          <w:rFonts w:asciiTheme="minorHAnsi" w:hAnsiTheme="minorHAnsi"/>
          <w:color w:val="auto"/>
          <w:sz w:val="20"/>
          <w:szCs w:val="20"/>
        </w:rPr>
        <w:t xml:space="preserve">xamples </w:t>
      </w:r>
      <w:r>
        <w:rPr>
          <w:rFonts w:asciiTheme="minorHAnsi" w:hAnsiTheme="minorHAnsi"/>
          <w:color w:val="auto"/>
          <w:sz w:val="20"/>
          <w:szCs w:val="20"/>
        </w:rPr>
        <w:t xml:space="preserve">from </w:t>
      </w:r>
      <w:r w:rsidR="00E46D9D">
        <w:rPr>
          <w:rFonts w:asciiTheme="minorHAnsi" w:hAnsiTheme="minorHAnsi"/>
          <w:color w:val="auto"/>
          <w:sz w:val="20"/>
          <w:szCs w:val="20"/>
        </w:rPr>
        <w:t xml:space="preserve">OSHA’s cost estimate </w:t>
      </w:r>
      <w:r>
        <w:rPr>
          <w:rFonts w:asciiTheme="minorHAnsi" w:hAnsiTheme="minorHAnsi"/>
          <w:color w:val="auto"/>
          <w:sz w:val="20"/>
          <w:szCs w:val="20"/>
        </w:rPr>
        <w:t>compare to what you believe the compliance costs for your company will be?</w:t>
      </w:r>
    </w:p>
    <w:tbl>
      <w:tblPr>
        <w:tblStyle w:val="TableGrid"/>
        <w:tblW w:w="5000" w:type="pct"/>
        <w:jc w:val="center"/>
        <w:tblLayout w:type="fixed"/>
        <w:tblLook w:val="04A0"/>
      </w:tblPr>
      <w:tblGrid>
        <w:gridCol w:w="2088"/>
        <w:gridCol w:w="2807"/>
        <w:gridCol w:w="2419"/>
        <w:gridCol w:w="983"/>
        <w:gridCol w:w="2719"/>
      </w:tblGrid>
      <w:tr w:rsidR="000E0C94" w:rsidTr="000E0C94">
        <w:trPr>
          <w:trHeight w:val="621"/>
          <w:jc w:val="center"/>
        </w:trPr>
        <w:tc>
          <w:tcPr>
            <w:tcW w:w="948" w:type="pct"/>
          </w:tcPr>
          <w:p w:rsidR="006440AB" w:rsidRPr="00136DC0" w:rsidRDefault="006440AB" w:rsidP="00E46D9D">
            <w:pPr>
              <w:rPr>
                <w:b/>
                <w:sz w:val="18"/>
              </w:rPr>
            </w:pPr>
            <w:r w:rsidRPr="00136DC0">
              <w:rPr>
                <w:b/>
                <w:sz w:val="18"/>
              </w:rPr>
              <w:t xml:space="preserve">Item </w:t>
            </w:r>
          </w:p>
        </w:tc>
        <w:tc>
          <w:tcPr>
            <w:tcW w:w="1274" w:type="pct"/>
          </w:tcPr>
          <w:p w:rsidR="006440AB" w:rsidRPr="00136DC0" w:rsidRDefault="006440AB" w:rsidP="00E46D9D">
            <w:pPr>
              <w:rPr>
                <w:b/>
                <w:sz w:val="18"/>
              </w:rPr>
            </w:pPr>
            <w:r w:rsidRPr="00136DC0">
              <w:rPr>
                <w:b/>
                <w:sz w:val="18"/>
              </w:rPr>
              <w:t>Description</w:t>
            </w:r>
          </w:p>
        </w:tc>
        <w:tc>
          <w:tcPr>
            <w:tcW w:w="1098" w:type="pct"/>
          </w:tcPr>
          <w:p w:rsidR="006440AB" w:rsidRPr="00136DC0" w:rsidRDefault="006440AB" w:rsidP="00E46D9D">
            <w:pPr>
              <w:rPr>
                <w:b/>
                <w:sz w:val="18"/>
              </w:rPr>
            </w:pPr>
            <w:r w:rsidRPr="00136DC0">
              <w:rPr>
                <w:b/>
                <w:sz w:val="18"/>
              </w:rPr>
              <w:t>Capital Cost</w:t>
            </w:r>
          </w:p>
        </w:tc>
        <w:tc>
          <w:tcPr>
            <w:tcW w:w="446" w:type="pct"/>
          </w:tcPr>
          <w:p w:rsidR="006440AB" w:rsidRPr="00136DC0" w:rsidRDefault="006440AB" w:rsidP="00E46D9D">
            <w:pPr>
              <w:rPr>
                <w:b/>
                <w:sz w:val="18"/>
              </w:rPr>
            </w:pPr>
            <w:r w:rsidRPr="00136DC0">
              <w:rPr>
                <w:b/>
                <w:sz w:val="18"/>
              </w:rPr>
              <w:t>Operating Cost</w:t>
            </w:r>
          </w:p>
        </w:tc>
        <w:tc>
          <w:tcPr>
            <w:tcW w:w="1234" w:type="pct"/>
          </w:tcPr>
          <w:p w:rsidR="006440AB" w:rsidRPr="00136DC0" w:rsidRDefault="006440AB" w:rsidP="00361AB0">
            <w:pPr>
              <w:rPr>
                <w:b/>
                <w:sz w:val="18"/>
              </w:rPr>
            </w:pPr>
            <w:r w:rsidRPr="00136DC0">
              <w:rPr>
                <w:b/>
                <w:sz w:val="18"/>
              </w:rPr>
              <w:t>Annualized Cost</w:t>
            </w:r>
            <w:r w:rsidR="00361AB0" w:rsidRPr="00136DC0">
              <w:rPr>
                <w:b/>
                <w:sz w:val="18"/>
              </w:rPr>
              <w:t xml:space="preserve"> Estimated by Contractors</w:t>
            </w:r>
          </w:p>
        </w:tc>
      </w:tr>
      <w:tr w:rsidR="000E0C94" w:rsidTr="000E0C94">
        <w:trPr>
          <w:trHeight w:val="603"/>
          <w:jc w:val="center"/>
        </w:trPr>
        <w:tc>
          <w:tcPr>
            <w:tcW w:w="948" w:type="pct"/>
          </w:tcPr>
          <w:p w:rsidR="006440AB" w:rsidRPr="00136DC0" w:rsidRDefault="006440AB" w:rsidP="007B43EB">
            <w:pPr>
              <w:rPr>
                <w:sz w:val="18"/>
                <w:szCs w:val="20"/>
              </w:rPr>
            </w:pPr>
            <w:r w:rsidRPr="00136DC0">
              <w:rPr>
                <w:sz w:val="18"/>
                <w:szCs w:val="20"/>
              </w:rPr>
              <w:t xml:space="preserve">Training </w:t>
            </w:r>
            <w:r w:rsidR="007B43EB" w:rsidRPr="00136DC0">
              <w:rPr>
                <w:sz w:val="18"/>
                <w:szCs w:val="20"/>
              </w:rPr>
              <w:t>i</w:t>
            </w:r>
            <w:r w:rsidRPr="00136DC0">
              <w:rPr>
                <w:sz w:val="18"/>
                <w:szCs w:val="20"/>
              </w:rPr>
              <w:t xml:space="preserve">nstructor </w:t>
            </w:r>
            <w:r w:rsidR="007B43EB" w:rsidRPr="00136DC0">
              <w:rPr>
                <w:sz w:val="18"/>
                <w:szCs w:val="20"/>
              </w:rPr>
              <w:t>cost per hour</w:t>
            </w:r>
          </w:p>
        </w:tc>
        <w:tc>
          <w:tcPr>
            <w:tcW w:w="1274" w:type="pct"/>
          </w:tcPr>
          <w:p w:rsidR="006440AB" w:rsidRPr="00136DC0" w:rsidRDefault="002B38D7" w:rsidP="00706FA0">
            <w:pPr>
              <w:rPr>
                <w:sz w:val="18"/>
                <w:szCs w:val="20"/>
              </w:rPr>
            </w:pPr>
            <w:r w:rsidRPr="00136DC0">
              <w:rPr>
                <w:sz w:val="18"/>
                <w:szCs w:val="20"/>
              </w:rPr>
              <w:t xml:space="preserve">Training provided to </w:t>
            </w:r>
            <w:r w:rsidR="00706FA0" w:rsidRPr="00136DC0">
              <w:rPr>
                <w:sz w:val="18"/>
                <w:szCs w:val="20"/>
              </w:rPr>
              <w:t xml:space="preserve">every </w:t>
            </w:r>
            <w:r w:rsidRPr="00136DC0">
              <w:rPr>
                <w:sz w:val="18"/>
                <w:szCs w:val="20"/>
              </w:rPr>
              <w:t xml:space="preserve">employee </w:t>
            </w:r>
            <w:r w:rsidR="00706FA0" w:rsidRPr="00136DC0">
              <w:rPr>
                <w:sz w:val="18"/>
                <w:szCs w:val="20"/>
              </w:rPr>
              <w:t>who could be potentially exposed to silica above the new PEL which could range from 1 – 5 hours.</w:t>
            </w:r>
          </w:p>
        </w:tc>
        <w:tc>
          <w:tcPr>
            <w:tcW w:w="1098" w:type="pct"/>
          </w:tcPr>
          <w:p w:rsidR="006440AB" w:rsidRPr="00136DC0" w:rsidRDefault="00361AB0" w:rsidP="00E46D9D">
            <w:pPr>
              <w:rPr>
                <w:sz w:val="18"/>
                <w:szCs w:val="20"/>
              </w:rPr>
            </w:pPr>
            <w:r w:rsidRPr="00136DC0">
              <w:rPr>
                <w:sz w:val="18"/>
                <w:szCs w:val="20"/>
              </w:rPr>
              <w:t>N/A</w:t>
            </w:r>
          </w:p>
        </w:tc>
        <w:tc>
          <w:tcPr>
            <w:tcW w:w="446" w:type="pct"/>
          </w:tcPr>
          <w:p w:rsidR="006440AB" w:rsidRPr="00136DC0" w:rsidRDefault="006440AB" w:rsidP="00E46D9D">
            <w:pPr>
              <w:rPr>
                <w:sz w:val="18"/>
                <w:szCs w:val="20"/>
              </w:rPr>
            </w:pPr>
            <w:r w:rsidRPr="00136DC0">
              <w:rPr>
                <w:sz w:val="18"/>
                <w:szCs w:val="20"/>
              </w:rPr>
              <w:t>$43.12</w:t>
            </w:r>
          </w:p>
        </w:tc>
        <w:tc>
          <w:tcPr>
            <w:tcW w:w="1234" w:type="pct"/>
          </w:tcPr>
          <w:p w:rsidR="006440AB" w:rsidRPr="006440AB" w:rsidRDefault="006440AB" w:rsidP="00E46D9D">
            <w:pPr>
              <w:rPr>
                <w:sz w:val="20"/>
                <w:szCs w:val="20"/>
              </w:rPr>
            </w:pPr>
          </w:p>
        </w:tc>
      </w:tr>
      <w:tr w:rsidR="000E0C94" w:rsidTr="000E0C94">
        <w:trPr>
          <w:jc w:val="center"/>
        </w:trPr>
        <w:tc>
          <w:tcPr>
            <w:tcW w:w="948" w:type="pct"/>
          </w:tcPr>
          <w:p w:rsidR="006440AB" w:rsidRPr="00136DC0" w:rsidRDefault="006440AB" w:rsidP="007B43EB">
            <w:pPr>
              <w:rPr>
                <w:sz w:val="18"/>
                <w:szCs w:val="20"/>
              </w:rPr>
            </w:pPr>
            <w:r w:rsidRPr="00136DC0">
              <w:rPr>
                <w:sz w:val="18"/>
                <w:szCs w:val="20"/>
              </w:rPr>
              <w:t xml:space="preserve">Value </w:t>
            </w:r>
            <w:r w:rsidR="007B43EB" w:rsidRPr="00136DC0">
              <w:rPr>
                <w:sz w:val="18"/>
                <w:szCs w:val="20"/>
              </w:rPr>
              <w:t>of worker time spent in class</w:t>
            </w:r>
          </w:p>
        </w:tc>
        <w:tc>
          <w:tcPr>
            <w:tcW w:w="1274" w:type="pct"/>
          </w:tcPr>
          <w:p w:rsidR="006440AB" w:rsidRPr="00136DC0" w:rsidRDefault="002B38D7" w:rsidP="00E46D9D">
            <w:pPr>
              <w:rPr>
                <w:sz w:val="18"/>
                <w:szCs w:val="20"/>
              </w:rPr>
            </w:pPr>
            <w:r w:rsidRPr="00136DC0">
              <w:rPr>
                <w:sz w:val="18"/>
                <w:szCs w:val="20"/>
              </w:rPr>
              <w:t>Average rate of pay for employees attending the required training.</w:t>
            </w:r>
          </w:p>
        </w:tc>
        <w:tc>
          <w:tcPr>
            <w:tcW w:w="1098" w:type="pct"/>
          </w:tcPr>
          <w:p w:rsidR="006440AB" w:rsidRPr="00136DC0" w:rsidRDefault="00361AB0" w:rsidP="00E46D9D">
            <w:pPr>
              <w:rPr>
                <w:sz w:val="18"/>
                <w:szCs w:val="20"/>
              </w:rPr>
            </w:pPr>
            <w:r w:rsidRPr="00136DC0">
              <w:rPr>
                <w:sz w:val="18"/>
                <w:szCs w:val="20"/>
              </w:rPr>
              <w:t>N/</w:t>
            </w:r>
            <w:r w:rsidR="00136DC0" w:rsidRPr="00136DC0">
              <w:rPr>
                <w:sz w:val="18"/>
                <w:szCs w:val="20"/>
              </w:rPr>
              <w:t>A</w:t>
            </w:r>
          </w:p>
        </w:tc>
        <w:tc>
          <w:tcPr>
            <w:tcW w:w="446" w:type="pct"/>
          </w:tcPr>
          <w:p w:rsidR="006440AB" w:rsidRPr="00136DC0" w:rsidRDefault="006440AB" w:rsidP="00E46D9D">
            <w:pPr>
              <w:rPr>
                <w:sz w:val="18"/>
                <w:szCs w:val="20"/>
              </w:rPr>
            </w:pPr>
            <w:r w:rsidRPr="00136DC0">
              <w:rPr>
                <w:sz w:val="18"/>
                <w:szCs w:val="20"/>
              </w:rPr>
              <w:t>$22.22</w:t>
            </w:r>
          </w:p>
        </w:tc>
        <w:tc>
          <w:tcPr>
            <w:tcW w:w="1234" w:type="pct"/>
          </w:tcPr>
          <w:p w:rsidR="006440AB" w:rsidRPr="006440AB" w:rsidRDefault="006440AB" w:rsidP="00E46D9D">
            <w:pPr>
              <w:rPr>
                <w:sz w:val="20"/>
                <w:szCs w:val="20"/>
              </w:rPr>
            </w:pPr>
          </w:p>
        </w:tc>
      </w:tr>
      <w:tr w:rsidR="000E0C94" w:rsidTr="000E0C94">
        <w:trPr>
          <w:jc w:val="center"/>
        </w:trPr>
        <w:tc>
          <w:tcPr>
            <w:tcW w:w="948" w:type="pct"/>
          </w:tcPr>
          <w:p w:rsidR="006440AB" w:rsidRPr="00136DC0" w:rsidRDefault="007B43EB" w:rsidP="00E46D9D">
            <w:pPr>
              <w:rPr>
                <w:sz w:val="18"/>
                <w:szCs w:val="20"/>
              </w:rPr>
            </w:pPr>
            <w:r w:rsidRPr="00136DC0">
              <w:rPr>
                <w:sz w:val="18"/>
                <w:szCs w:val="20"/>
              </w:rPr>
              <w:t>Warning s</w:t>
            </w:r>
            <w:r w:rsidR="006440AB" w:rsidRPr="00136DC0">
              <w:rPr>
                <w:sz w:val="18"/>
                <w:szCs w:val="20"/>
              </w:rPr>
              <w:t>igns (3 per regulated area)</w:t>
            </w:r>
          </w:p>
        </w:tc>
        <w:tc>
          <w:tcPr>
            <w:tcW w:w="1274" w:type="pct"/>
          </w:tcPr>
          <w:p w:rsidR="006440AB" w:rsidRPr="00136DC0" w:rsidRDefault="006440AB" w:rsidP="00E46D9D">
            <w:pPr>
              <w:rPr>
                <w:sz w:val="18"/>
                <w:szCs w:val="20"/>
              </w:rPr>
            </w:pPr>
            <w:r w:rsidRPr="00136DC0">
              <w:rPr>
                <w:sz w:val="18"/>
                <w:szCs w:val="20"/>
              </w:rPr>
              <w:t>$25.30 per sign</w:t>
            </w:r>
            <w:r w:rsidR="002B38D7" w:rsidRPr="00136DC0">
              <w:rPr>
                <w:sz w:val="18"/>
                <w:szCs w:val="20"/>
              </w:rPr>
              <w:t xml:space="preserve"> to designate/demarcate regulated areas</w:t>
            </w:r>
          </w:p>
        </w:tc>
        <w:tc>
          <w:tcPr>
            <w:tcW w:w="1098" w:type="pct"/>
          </w:tcPr>
          <w:p w:rsidR="006440AB" w:rsidRPr="00136DC0" w:rsidRDefault="00361AB0" w:rsidP="000E0C94">
            <w:pPr>
              <w:rPr>
                <w:sz w:val="18"/>
                <w:szCs w:val="20"/>
              </w:rPr>
            </w:pPr>
            <w:r w:rsidRPr="00136DC0">
              <w:rPr>
                <w:sz w:val="18"/>
                <w:szCs w:val="20"/>
              </w:rPr>
              <w:t xml:space="preserve">OSHA </w:t>
            </w:r>
            <w:r w:rsidR="000E0C94">
              <w:rPr>
                <w:sz w:val="18"/>
                <w:szCs w:val="20"/>
              </w:rPr>
              <w:t>estimates</w:t>
            </w:r>
            <w:r w:rsidR="00706FA0" w:rsidRPr="00136DC0">
              <w:rPr>
                <w:sz w:val="18"/>
                <w:szCs w:val="20"/>
              </w:rPr>
              <w:t xml:space="preserve"> </w:t>
            </w:r>
            <w:r w:rsidRPr="00136DC0">
              <w:rPr>
                <w:sz w:val="18"/>
                <w:szCs w:val="20"/>
              </w:rPr>
              <w:t>no</w:t>
            </w:r>
            <w:r w:rsidR="00706FA0" w:rsidRPr="00136DC0">
              <w:rPr>
                <w:sz w:val="18"/>
                <w:szCs w:val="20"/>
              </w:rPr>
              <w:t xml:space="preserve"> </w:t>
            </w:r>
            <w:r w:rsidR="000E0C94">
              <w:rPr>
                <w:sz w:val="18"/>
                <w:szCs w:val="20"/>
              </w:rPr>
              <w:t xml:space="preserve">capital costs </w:t>
            </w:r>
            <w:r w:rsidR="00706FA0" w:rsidRPr="00136DC0">
              <w:rPr>
                <w:sz w:val="18"/>
                <w:szCs w:val="20"/>
              </w:rPr>
              <w:t>but</w:t>
            </w:r>
            <w:r w:rsidRPr="00136DC0">
              <w:rPr>
                <w:sz w:val="18"/>
                <w:szCs w:val="20"/>
              </w:rPr>
              <w:t xml:space="preserve"> employers will be required to purchase </w:t>
            </w:r>
            <w:r w:rsidR="000E0C94">
              <w:rPr>
                <w:sz w:val="18"/>
                <w:szCs w:val="20"/>
              </w:rPr>
              <w:t xml:space="preserve">multiple </w:t>
            </w:r>
            <w:r w:rsidRPr="00136DC0">
              <w:rPr>
                <w:sz w:val="18"/>
                <w:szCs w:val="20"/>
              </w:rPr>
              <w:t>signs for each project.</w:t>
            </w:r>
          </w:p>
        </w:tc>
        <w:tc>
          <w:tcPr>
            <w:tcW w:w="446" w:type="pct"/>
          </w:tcPr>
          <w:p w:rsidR="006440AB" w:rsidRPr="00136DC0" w:rsidRDefault="006440AB" w:rsidP="00E46D9D">
            <w:pPr>
              <w:rPr>
                <w:sz w:val="18"/>
                <w:szCs w:val="20"/>
              </w:rPr>
            </w:pPr>
            <w:r w:rsidRPr="00136DC0">
              <w:rPr>
                <w:sz w:val="18"/>
                <w:szCs w:val="20"/>
              </w:rPr>
              <w:t>$75.90</w:t>
            </w:r>
          </w:p>
        </w:tc>
        <w:tc>
          <w:tcPr>
            <w:tcW w:w="1234" w:type="pct"/>
          </w:tcPr>
          <w:p w:rsidR="006440AB" w:rsidRPr="006440AB" w:rsidRDefault="006440AB" w:rsidP="00E46D9D">
            <w:pPr>
              <w:rPr>
                <w:sz w:val="20"/>
                <w:szCs w:val="20"/>
              </w:rPr>
            </w:pPr>
          </w:p>
        </w:tc>
      </w:tr>
      <w:tr w:rsidR="000E0C94" w:rsidTr="000E0C94">
        <w:trPr>
          <w:jc w:val="center"/>
        </w:trPr>
        <w:tc>
          <w:tcPr>
            <w:tcW w:w="948" w:type="pct"/>
          </w:tcPr>
          <w:p w:rsidR="006440AB" w:rsidRPr="00136DC0" w:rsidRDefault="00BE0138" w:rsidP="00E46D9D">
            <w:pPr>
              <w:rPr>
                <w:sz w:val="18"/>
                <w:szCs w:val="20"/>
              </w:rPr>
            </w:pPr>
            <w:r w:rsidRPr="00136DC0">
              <w:rPr>
                <w:sz w:val="18"/>
                <w:szCs w:val="20"/>
              </w:rPr>
              <w:t>Physical exam by health care professional</w:t>
            </w:r>
          </w:p>
        </w:tc>
        <w:tc>
          <w:tcPr>
            <w:tcW w:w="1274" w:type="pct"/>
          </w:tcPr>
          <w:p w:rsidR="006440AB" w:rsidRPr="00136DC0" w:rsidRDefault="00BE0138" w:rsidP="00706FA0">
            <w:pPr>
              <w:rPr>
                <w:sz w:val="18"/>
                <w:szCs w:val="20"/>
              </w:rPr>
            </w:pPr>
            <w:r w:rsidRPr="00136DC0">
              <w:rPr>
                <w:sz w:val="18"/>
                <w:szCs w:val="20"/>
              </w:rPr>
              <w:t>Evaluation and office consultation including detailed examination</w:t>
            </w:r>
            <w:r w:rsidR="00706FA0" w:rsidRPr="00136DC0">
              <w:rPr>
                <w:sz w:val="18"/>
                <w:szCs w:val="20"/>
              </w:rPr>
              <w:t xml:space="preserve"> of any employee who could be exposed above the new PEL for 30 days or more</w:t>
            </w:r>
          </w:p>
        </w:tc>
        <w:tc>
          <w:tcPr>
            <w:tcW w:w="1098" w:type="pct"/>
          </w:tcPr>
          <w:p w:rsidR="006440AB" w:rsidRPr="00136DC0" w:rsidRDefault="00136DC0" w:rsidP="000E0C94">
            <w:pPr>
              <w:rPr>
                <w:sz w:val="18"/>
                <w:szCs w:val="20"/>
              </w:rPr>
            </w:pPr>
            <w:r w:rsidRPr="00136DC0">
              <w:rPr>
                <w:sz w:val="18"/>
                <w:szCs w:val="20"/>
              </w:rPr>
              <w:t xml:space="preserve">OSHA </w:t>
            </w:r>
            <w:r w:rsidR="000E0C94">
              <w:rPr>
                <w:sz w:val="18"/>
                <w:szCs w:val="20"/>
              </w:rPr>
              <w:t>estimates</w:t>
            </w:r>
            <w:r w:rsidRPr="00136DC0">
              <w:rPr>
                <w:sz w:val="18"/>
                <w:szCs w:val="20"/>
              </w:rPr>
              <w:t xml:space="preserve"> no </w:t>
            </w:r>
            <w:r w:rsidR="000E0C94">
              <w:rPr>
                <w:sz w:val="18"/>
                <w:szCs w:val="20"/>
              </w:rPr>
              <w:t xml:space="preserve">capital costs </w:t>
            </w:r>
            <w:r w:rsidRPr="00136DC0">
              <w:rPr>
                <w:sz w:val="18"/>
                <w:szCs w:val="20"/>
              </w:rPr>
              <w:t xml:space="preserve">but </w:t>
            </w:r>
            <w:r w:rsidR="000E0C94">
              <w:rPr>
                <w:sz w:val="18"/>
                <w:szCs w:val="20"/>
              </w:rPr>
              <w:t xml:space="preserve">employers </w:t>
            </w:r>
            <w:r w:rsidR="000E0C94" w:rsidRPr="00136DC0">
              <w:rPr>
                <w:sz w:val="18"/>
                <w:szCs w:val="20"/>
              </w:rPr>
              <w:t xml:space="preserve">could potentially be required to establish onsite medical facilities </w:t>
            </w:r>
            <w:r w:rsidRPr="00136DC0">
              <w:rPr>
                <w:sz w:val="18"/>
                <w:szCs w:val="20"/>
              </w:rPr>
              <w:t>t</w:t>
            </w:r>
            <w:r w:rsidR="00361AB0" w:rsidRPr="00136DC0">
              <w:rPr>
                <w:sz w:val="18"/>
                <w:szCs w:val="20"/>
              </w:rPr>
              <w:t xml:space="preserve">o conduct physical </w:t>
            </w:r>
            <w:r w:rsidRPr="00136DC0">
              <w:rPr>
                <w:sz w:val="18"/>
                <w:szCs w:val="20"/>
              </w:rPr>
              <w:t>examinations including chest x-rays.</w:t>
            </w:r>
          </w:p>
        </w:tc>
        <w:tc>
          <w:tcPr>
            <w:tcW w:w="446" w:type="pct"/>
          </w:tcPr>
          <w:p w:rsidR="006440AB" w:rsidRPr="00136DC0" w:rsidRDefault="007B43EB" w:rsidP="00BE0138">
            <w:pPr>
              <w:rPr>
                <w:sz w:val="18"/>
                <w:szCs w:val="20"/>
              </w:rPr>
            </w:pPr>
            <w:r w:rsidRPr="00136DC0">
              <w:rPr>
                <w:sz w:val="18"/>
                <w:szCs w:val="20"/>
              </w:rPr>
              <w:t>$</w:t>
            </w:r>
            <w:r w:rsidR="00BE0138" w:rsidRPr="00136DC0">
              <w:rPr>
                <w:sz w:val="18"/>
                <w:szCs w:val="20"/>
              </w:rPr>
              <w:t>100.00</w:t>
            </w:r>
          </w:p>
        </w:tc>
        <w:tc>
          <w:tcPr>
            <w:tcW w:w="1234" w:type="pct"/>
          </w:tcPr>
          <w:p w:rsidR="006440AB" w:rsidRPr="006440AB" w:rsidRDefault="006440AB" w:rsidP="00E46D9D">
            <w:pPr>
              <w:rPr>
                <w:sz w:val="20"/>
                <w:szCs w:val="20"/>
              </w:rPr>
            </w:pPr>
          </w:p>
        </w:tc>
      </w:tr>
      <w:tr w:rsidR="000E0C94" w:rsidTr="000E0C94">
        <w:trPr>
          <w:jc w:val="center"/>
        </w:trPr>
        <w:tc>
          <w:tcPr>
            <w:tcW w:w="948" w:type="pct"/>
          </w:tcPr>
          <w:p w:rsidR="006440AB" w:rsidRPr="00136DC0" w:rsidRDefault="007B43EB" w:rsidP="00E46D9D">
            <w:pPr>
              <w:rPr>
                <w:sz w:val="18"/>
                <w:szCs w:val="20"/>
              </w:rPr>
            </w:pPr>
            <w:r w:rsidRPr="00136DC0">
              <w:rPr>
                <w:sz w:val="18"/>
                <w:szCs w:val="20"/>
              </w:rPr>
              <w:t>Industrial hygiene fees (personal samples)</w:t>
            </w:r>
          </w:p>
        </w:tc>
        <w:tc>
          <w:tcPr>
            <w:tcW w:w="1274" w:type="pct"/>
          </w:tcPr>
          <w:p w:rsidR="006440AB" w:rsidRPr="00136DC0" w:rsidRDefault="007B43EB" w:rsidP="00706FA0">
            <w:pPr>
              <w:rPr>
                <w:sz w:val="18"/>
                <w:szCs w:val="20"/>
              </w:rPr>
            </w:pPr>
            <w:r w:rsidRPr="00136DC0">
              <w:rPr>
                <w:sz w:val="18"/>
                <w:szCs w:val="20"/>
              </w:rPr>
              <w:t>Consulting technician ($500.00/day)</w:t>
            </w:r>
            <w:r w:rsidR="00706FA0" w:rsidRPr="00136DC0">
              <w:rPr>
                <w:sz w:val="18"/>
                <w:szCs w:val="20"/>
              </w:rPr>
              <w:t xml:space="preserve"> to visit jobsites to collect personal air samples of every employee whose task(s) could generate silica exposures above the new PEL </w:t>
            </w:r>
          </w:p>
        </w:tc>
        <w:tc>
          <w:tcPr>
            <w:tcW w:w="1098" w:type="pct"/>
          </w:tcPr>
          <w:p w:rsidR="006440AB" w:rsidRPr="00136DC0" w:rsidRDefault="00361AB0" w:rsidP="00E46D9D">
            <w:pPr>
              <w:rPr>
                <w:sz w:val="18"/>
                <w:szCs w:val="20"/>
              </w:rPr>
            </w:pPr>
            <w:r w:rsidRPr="00136DC0">
              <w:rPr>
                <w:sz w:val="18"/>
                <w:szCs w:val="20"/>
              </w:rPr>
              <w:t>OSHA estimates no capital costs but employers could be potentially</w:t>
            </w:r>
            <w:r w:rsidR="00136DC0" w:rsidRPr="00136DC0">
              <w:rPr>
                <w:sz w:val="18"/>
                <w:szCs w:val="20"/>
              </w:rPr>
              <w:t xml:space="preserve"> required to purch</w:t>
            </w:r>
            <w:r w:rsidR="00136DC0">
              <w:rPr>
                <w:sz w:val="18"/>
                <w:szCs w:val="20"/>
              </w:rPr>
              <w:t xml:space="preserve">ase their own </w:t>
            </w:r>
            <w:r w:rsidR="000E0C94">
              <w:rPr>
                <w:sz w:val="18"/>
                <w:szCs w:val="20"/>
              </w:rPr>
              <w:t>air monitoring/</w:t>
            </w:r>
            <w:r w:rsidR="00136DC0">
              <w:rPr>
                <w:sz w:val="18"/>
                <w:szCs w:val="20"/>
              </w:rPr>
              <w:t>sampling equipment</w:t>
            </w:r>
            <w:r w:rsidR="00136DC0" w:rsidRPr="00136DC0">
              <w:rPr>
                <w:sz w:val="18"/>
                <w:szCs w:val="20"/>
              </w:rPr>
              <w:t>.</w:t>
            </w:r>
          </w:p>
        </w:tc>
        <w:tc>
          <w:tcPr>
            <w:tcW w:w="446" w:type="pct"/>
          </w:tcPr>
          <w:p w:rsidR="006440AB" w:rsidRPr="00136DC0" w:rsidRDefault="007B43EB" w:rsidP="00E46D9D">
            <w:pPr>
              <w:rPr>
                <w:sz w:val="18"/>
                <w:szCs w:val="20"/>
              </w:rPr>
            </w:pPr>
            <w:r w:rsidRPr="00136DC0">
              <w:rPr>
                <w:sz w:val="18"/>
                <w:szCs w:val="20"/>
              </w:rPr>
              <w:t>$500.00</w:t>
            </w:r>
          </w:p>
        </w:tc>
        <w:tc>
          <w:tcPr>
            <w:tcW w:w="1234" w:type="pct"/>
          </w:tcPr>
          <w:p w:rsidR="006440AB" w:rsidRPr="006440AB" w:rsidRDefault="006440AB" w:rsidP="00E46D9D">
            <w:pPr>
              <w:rPr>
                <w:sz w:val="20"/>
                <w:szCs w:val="20"/>
              </w:rPr>
            </w:pPr>
          </w:p>
        </w:tc>
      </w:tr>
      <w:tr w:rsidR="000E0C94" w:rsidTr="000E0C94">
        <w:trPr>
          <w:trHeight w:val="972"/>
          <w:jc w:val="center"/>
        </w:trPr>
        <w:tc>
          <w:tcPr>
            <w:tcW w:w="948" w:type="pct"/>
          </w:tcPr>
          <w:p w:rsidR="006440AB" w:rsidRPr="00136DC0" w:rsidRDefault="007B43EB" w:rsidP="00E46D9D">
            <w:pPr>
              <w:rPr>
                <w:sz w:val="18"/>
                <w:szCs w:val="20"/>
              </w:rPr>
            </w:pPr>
            <w:r w:rsidRPr="00136DC0">
              <w:rPr>
                <w:sz w:val="18"/>
                <w:szCs w:val="20"/>
              </w:rPr>
              <w:lastRenderedPageBreak/>
              <w:t>Exposure assessment lab fees and shipping costs</w:t>
            </w:r>
          </w:p>
        </w:tc>
        <w:tc>
          <w:tcPr>
            <w:tcW w:w="1274" w:type="pct"/>
          </w:tcPr>
          <w:p w:rsidR="006440AB" w:rsidRPr="00136DC0" w:rsidRDefault="002B38D7" w:rsidP="00E46D9D">
            <w:pPr>
              <w:rPr>
                <w:sz w:val="18"/>
                <w:szCs w:val="20"/>
              </w:rPr>
            </w:pPr>
            <w:r w:rsidRPr="00136DC0">
              <w:rPr>
                <w:sz w:val="18"/>
                <w:szCs w:val="20"/>
              </w:rPr>
              <w:t>Costs associated with the laboratory analysis of air monitoring/exposure assessments including shipping costs.</w:t>
            </w:r>
          </w:p>
        </w:tc>
        <w:tc>
          <w:tcPr>
            <w:tcW w:w="1098" w:type="pct"/>
          </w:tcPr>
          <w:p w:rsidR="006440AB" w:rsidRPr="00136DC0" w:rsidRDefault="00136DC0" w:rsidP="00E46D9D">
            <w:pPr>
              <w:rPr>
                <w:sz w:val="18"/>
                <w:szCs w:val="20"/>
              </w:rPr>
            </w:pPr>
            <w:r w:rsidRPr="00136DC0">
              <w:rPr>
                <w:sz w:val="18"/>
                <w:szCs w:val="20"/>
              </w:rPr>
              <w:t>N/A</w:t>
            </w:r>
          </w:p>
        </w:tc>
        <w:tc>
          <w:tcPr>
            <w:tcW w:w="446" w:type="pct"/>
          </w:tcPr>
          <w:p w:rsidR="006440AB" w:rsidRPr="00136DC0" w:rsidRDefault="007B43EB" w:rsidP="00E46D9D">
            <w:pPr>
              <w:rPr>
                <w:sz w:val="18"/>
                <w:szCs w:val="20"/>
              </w:rPr>
            </w:pPr>
            <w:r w:rsidRPr="00136DC0">
              <w:rPr>
                <w:sz w:val="18"/>
                <w:szCs w:val="20"/>
              </w:rPr>
              <w:t>$133.38</w:t>
            </w:r>
          </w:p>
        </w:tc>
        <w:tc>
          <w:tcPr>
            <w:tcW w:w="1234" w:type="pct"/>
          </w:tcPr>
          <w:p w:rsidR="006440AB" w:rsidRPr="006440AB" w:rsidRDefault="006440AB" w:rsidP="00E46D9D">
            <w:pPr>
              <w:rPr>
                <w:sz w:val="20"/>
                <w:szCs w:val="20"/>
              </w:rPr>
            </w:pPr>
          </w:p>
        </w:tc>
      </w:tr>
    </w:tbl>
    <w:p w:rsidR="00441E3D" w:rsidRPr="003E3E44" w:rsidRDefault="009336C0" w:rsidP="00441E3D">
      <w:pPr>
        <w:pStyle w:val="Heading3"/>
        <w:spacing w:before="120" w:line="240" w:lineRule="auto"/>
        <w:ind w:left="-90" w:right="-180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441E3D" w:rsidRPr="003E3E44">
        <w:rPr>
          <w:rFonts w:asciiTheme="minorHAnsi" w:hAnsiTheme="minorHAnsi"/>
          <w:color w:val="auto"/>
          <w:sz w:val="20"/>
          <w:szCs w:val="20"/>
        </w:rPr>
        <w:t xml:space="preserve">AGC </w:t>
      </w:r>
      <w:r w:rsidR="00441E3D">
        <w:rPr>
          <w:rFonts w:asciiTheme="minorHAnsi" w:hAnsiTheme="minorHAnsi"/>
          <w:color w:val="auto"/>
          <w:sz w:val="20"/>
          <w:szCs w:val="20"/>
        </w:rPr>
        <w:t>Recommendation</w:t>
      </w:r>
      <w:r w:rsidR="009467D7">
        <w:rPr>
          <w:rFonts w:asciiTheme="minorHAnsi" w:hAnsiTheme="minorHAnsi"/>
          <w:color w:val="auto"/>
          <w:sz w:val="20"/>
          <w:szCs w:val="20"/>
        </w:rPr>
        <w:t>:</w:t>
      </w:r>
    </w:p>
    <w:p w:rsidR="00441E3D" w:rsidRPr="007F0549" w:rsidRDefault="00441E3D" w:rsidP="007F0549">
      <w:pPr>
        <w:pStyle w:val="NoSpacing"/>
        <w:numPr>
          <w:ilvl w:val="0"/>
          <w:numId w:val="25"/>
        </w:numPr>
        <w:spacing w:before="120"/>
        <w:ind w:right="-180"/>
        <w:rPr>
          <w:rFonts w:asciiTheme="minorHAnsi" w:hAnsiTheme="minorHAnsi"/>
          <w:color w:val="000000" w:themeColor="text1"/>
          <w:sz w:val="20"/>
          <w:szCs w:val="20"/>
        </w:rPr>
      </w:pPr>
      <w:r w:rsidRPr="00441E3D">
        <w:rPr>
          <w:rFonts w:asciiTheme="minorHAnsi" w:hAnsiTheme="minorHAnsi"/>
          <w:color w:val="000000" w:themeColor="text1"/>
          <w:sz w:val="20"/>
          <w:szCs w:val="20"/>
        </w:rPr>
        <w:t xml:space="preserve">Support </w:t>
      </w:r>
      <w:r w:rsidR="007F0549">
        <w:rPr>
          <w:rFonts w:asciiTheme="minorHAnsi" w:hAnsiTheme="minorHAnsi"/>
          <w:color w:val="000000" w:themeColor="text1"/>
          <w:sz w:val="20"/>
          <w:szCs w:val="20"/>
        </w:rPr>
        <w:t xml:space="preserve">AGC’s </w:t>
      </w:r>
      <w:r w:rsidR="00776460">
        <w:rPr>
          <w:rFonts w:asciiTheme="minorHAnsi" w:hAnsiTheme="minorHAnsi"/>
          <w:color w:val="000000" w:themeColor="text1"/>
          <w:sz w:val="20"/>
          <w:szCs w:val="20"/>
        </w:rPr>
        <w:t xml:space="preserve">efforts to submit a </w:t>
      </w:r>
      <w:r w:rsidR="007F0549">
        <w:rPr>
          <w:rFonts w:asciiTheme="minorHAnsi" w:hAnsiTheme="minorHAnsi"/>
          <w:color w:val="000000" w:themeColor="text1"/>
          <w:sz w:val="20"/>
          <w:szCs w:val="20"/>
        </w:rPr>
        <w:t>comprehensive response to the proposed rule by</w:t>
      </w:r>
      <w:r w:rsidR="007F0549">
        <w:rPr>
          <w:rFonts w:ascii="Times New Roman" w:hAnsi="Times New Roman"/>
          <w:sz w:val="24"/>
          <w:szCs w:val="24"/>
        </w:rPr>
        <w:t xml:space="preserve"> </w:t>
      </w:r>
      <w:r w:rsidR="007F0549" w:rsidRPr="007F0549">
        <w:rPr>
          <w:rFonts w:asciiTheme="minorHAnsi" w:hAnsiTheme="minorHAnsi"/>
          <w:sz w:val="20"/>
          <w:szCs w:val="20"/>
        </w:rPr>
        <w:t>providing as much specific data and information as possible to assist the Agency in its deliberative process</w:t>
      </w:r>
      <w:r w:rsidRPr="007F0549">
        <w:rPr>
          <w:rFonts w:asciiTheme="minorHAnsi" w:hAnsiTheme="minorHAnsi"/>
          <w:color w:val="000000" w:themeColor="text1"/>
          <w:sz w:val="20"/>
          <w:szCs w:val="20"/>
        </w:rPr>
        <w:t>.</w:t>
      </w:r>
      <w:r w:rsidR="007B45B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sectPr w:rsidR="00441E3D" w:rsidRPr="007F0549" w:rsidSect="006440AB">
      <w:headerReference w:type="default" r:id="rId8"/>
      <w:footerReference w:type="default" r:id="rId9"/>
      <w:type w:val="continuous"/>
      <w:pgSz w:w="12240" w:h="15840"/>
      <w:pgMar w:top="8" w:right="720" w:bottom="270" w:left="720" w:header="720" w:footer="576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7E0" w:rsidRDefault="00FD67E0" w:rsidP="004C0409">
      <w:pPr>
        <w:spacing w:after="0" w:line="240" w:lineRule="auto"/>
      </w:pPr>
      <w:r>
        <w:separator/>
      </w:r>
    </w:p>
  </w:endnote>
  <w:endnote w:type="continuationSeparator" w:id="0">
    <w:p w:rsidR="00FD67E0" w:rsidRDefault="00FD67E0" w:rsidP="004C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94" w:rsidRDefault="000E0C94" w:rsidP="00441E3D">
    <w:pPr>
      <w:pStyle w:val="ListParagraph"/>
      <w:spacing w:after="0"/>
      <w:jc w:val="center"/>
      <w:rPr>
        <w:b/>
        <w:i/>
      </w:rPr>
    </w:pPr>
    <w:r>
      <w:rPr>
        <w:b/>
        <w:i/>
      </w:rPr>
      <w:t xml:space="preserve">To submit information contact </w:t>
    </w:r>
    <w:r w:rsidR="00776460">
      <w:rPr>
        <w:b/>
        <w:i/>
      </w:rPr>
      <w:t xml:space="preserve">Kevin Cannon </w:t>
    </w:r>
  </w:p>
  <w:p w:rsidR="00F67034" w:rsidRPr="00441E3D" w:rsidRDefault="000E0C94" w:rsidP="00441E3D">
    <w:pPr>
      <w:pStyle w:val="ListParagraph"/>
      <w:spacing w:after="0"/>
      <w:jc w:val="center"/>
      <w:rPr>
        <w:b/>
        <w:i/>
      </w:rPr>
    </w:pPr>
    <w:r>
      <w:rPr>
        <w:b/>
        <w:i/>
      </w:rPr>
      <w:t xml:space="preserve">Phone: </w:t>
    </w:r>
    <w:r w:rsidR="00776460">
      <w:rPr>
        <w:b/>
        <w:i/>
      </w:rPr>
      <w:t>(703) 837</w:t>
    </w:r>
    <w:r w:rsidR="00F67034" w:rsidRPr="00441E3D">
      <w:rPr>
        <w:b/>
        <w:i/>
      </w:rPr>
      <w:t>-</w:t>
    </w:r>
    <w:r w:rsidR="00776460">
      <w:rPr>
        <w:b/>
        <w:i/>
      </w:rPr>
      <w:t>5410</w:t>
    </w:r>
    <w:r w:rsidR="00F67034" w:rsidRPr="00441E3D">
      <w:rPr>
        <w:b/>
        <w:i/>
      </w:rPr>
      <w:t xml:space="preserve"> </w:t>
    </w:r>
    <w:r>
      <w:rPr>
        <w:b/>
        <w:i/>
      </w:rPr>
      <w:t>Fax: (703) 837-5407 Email:</w:t>
    </w:r>
    <w:r w:rsidR="00F67034" w:rsidRPr="00441E3D">
      <w:rPr>
        <w:b/>
        <w:i/>
      </w:rPr>
      <w:t xml:space="preserve"> </w:t>
    </w:r>
    <w:hyperlink r:id="rId1" w:history="1">
      <w:r w:rsidR="00776460" w:rsidRPr="004544FB">
        <w:rPr>
          <w:rStyle w:val="Hyperlink"/>
          <w:b/>
          <w:i/>
        </w:rPr>
        <w:t>cannonk@agc.org</w:t>
      </w:r>
    </w:hyperlink>
    <w:r w:rsidR="00F67034" w:rsidRPr="00441E3D">
      <w:rPr>
        <w:b/>
        <w:i/>
      </w:rPr>
      <w:t>.</w:t>
    </w:r>
  </w:p>
  <w:p w:rsidR="00F67034" w:rsidRPr="009467D7" w:rsidRDefault="00F67034" w:rsidP="004239E7">
    <w:pPr>
      <w:pStyle w:val="Footer"/>
      <w:spacing w:after="0" w:line="240" w:lineRule="auto"/>
      <w:ind w:left="30"/>
      <w:jc w:val="both"/>
      <w:rPr>
        <w:sz w:val="16"/>
        <w:szCs w:val="16"/>
      </w:rPr>
    </w:pPr>
    <w:r>
      <w:rPr>
        <w:color w:val="BFBFBF" w:themeColor="background1" w:themeShade="BF"/>
        <w:sz w:val="16"/>
        <w:szCs w:val="16"/>
      </w:rPr>
      <w:tab/>
    </w:r>
    <w:r>
      <w:rPr>
        <w:color w:val="BFBFBF" w:themeColor="background1" w:themeShade="BF"/>
        <w:sz w:val="16"/>
        <w:szCs w:val="16"/>
      </w:rPr>
      <w:tab/>
      <w:t xml:space="preserve">                                                                                                                                   </w:t>
    </w:r>
    <w:r w:rsidRPr="009467D7">
      <w:rPr>
        <w:sz w:val="16"/>
        <w:szCs w:val="16"/>
      </w:rPr>
      <w:t xml:space="preserve">September </w:t>
    </w:r>
    <w:r w:rsidR="00441E3D" w:rsidRPr="009467D7">
      <w:rPr>
        <w:sz w:val="16"/>
        <w:szCs w:val="16"/>
      </w:rPr>
      <w:t>23</w:t>
    </w:r>
    <w:r w:rsidRPr="009467D7">
      <w:rPr>
        <w:sz w:val="16"/>
        <w:szCs w:val="16"/>
      </w:rPr>
      <w:t>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7E0" w:rsidRDefault="00FD67E0" w:rsidP="004C0409">
      <w:pPr>
        <w:spacing w:after="0" w:line="240" w:lineRule="auto"/>
      </w:pPr>
      <w:r>
        <w:separator/>
      </w:r>
    </w:p>
  </w:footnote>
  <w:footnote w:type="continuationSeparator" w:id="0">
    <w:p w:rsidR="00FD67E0" w:rsidRDefault="00FD67E0" w:rsidP="004C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34" w:rsidRPr="008D2B7F" w:rsidRDefault="00361AB0" w:rsidP="00361AB0">
    <w:pPr>
      <w:pStyle w:val="Heading3"/>
      <w:spacing w:before="0" w:line="240" w:lineRule="auto"/>
      <w:ind w:left="-90"/>
      <w:contextualSpacing/>
      <w:rPr>
        <w:color w:val="000000" w:themeColor="text1"/>
        <w:sz w:val="30"/>
        <w:szCs w:val="30"/>
      </w:rPr>
    </w:pPr>
    <w:r>
      <w:rPr>
        <w:noProof/>
        <w:color w:val="000000" w:themeColor="text1"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3918585</wp:posOffset>
          </wp:positionH>
          <wp:positionV relativeFrom="margin">
            <wp:posOffset>-615315</wp:posOffset>
          </wp:positionV>
          <wp:extent cx="2954655" cy="572135"/>
          <wp:effectExtent l="19050" t="0" r="0" b="0"/>
          <wp:wrapSquare wrapText="bothSides"/>
          <wp:docPr id="4" name="Picture 1" descr="AGC_LOGO_COLOR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C_LOGO_COLOR_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0000" w:themeColor="text1"/>
        <w:sz w:val="28"/>
        <w:szCs w:val="28"/>
      </w:rPr>
      <w:t xml:space="preserve">Exposure to Crystalline Silica Standard  </w:t>
    </w:r>
  </w:p>
  <w:p w:rsidR="00F67034" w:rsidRDefault="00F670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FFA"/>
    <w:multiLevelType w:val="hybridMultilevel"/>
    <w:tmpl w:val="157A71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30A41"/>
    <w:multiLevelType w:val="hybridMultilevel"/>
    <w:tmpl w:val="6CF2E4C6"/>
    <w:lvl w:ilvl="0" w:tplc="4A4A7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524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6EF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CC7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0B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0F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46A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00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366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42B02"/>
    <w:multiLevelType w:val="hybridMultilevel"/>
    <w:tmpl w:val="06C8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E0152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C006B"/>
    <w:multiLevelType w:val="hybridMultilevel"/>
    <w:tmpl w:val="5F96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55827"/>
    <w:multiLevelType w:val="hybridMultilevel"/>
    <w:tmpl w:val="40B6D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F071D5"/>
    <w:multiLevelType w:val="hybridMultilevel"/>
    <w:tmpl w:val="25C2E17E"/>
    <w:lvl w:ilvl="0" w:tplc="0FEE5B6E">
      <w:start w:val="1"/>
      <w:numFmt w:val="decimal"/>
      <w:lvlText w:val="%1."/>
      <w:lvlJc w:val="left"/>
      <w:pPr>
        <w:ind w:left="39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5FA3BBC"/>
    <w:multiLevelType w:val="hybridMultilevel"/>
    <w:tmpl w:val="AABA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D1C12"/>
    <w:multiLevelType w:val="hybridMultilevel"/>
    <w:tmpl w:val="7758CC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9C128F2"/>
    <w:multiLevelType w:val="hybridMultilevel"/>
    <w:tmpl w:val="0FB029C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2DB6AF3"/>
    <w:multiLevelType w:val="hybridMultilevel"/>
    <w:tmpl w:val="8CB0E2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F4F10"/>
    <w:multiLevelType w:val="hybridMultilevel"/>
    <w:tmpl w:val="D4EA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67978"/>
    <w:multiLevelType w:val="hybridMultilevel"/>
    <w:tmpl w:val="D17A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E67F1"/>
    <w:multiLevelType w:val="hybridMultilevel"/>
    <w:tmpl w:val="F5FA0540"/>
    <w:lvl w:ilvl="0" w:tplc="CD7A67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36AB07DE"/>
    <w:multiLevelType w:val="hybridMultilevel"/>
    <w:tmpl w:val="07BE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A55FF"/>
    <w:multiLevelType w:val="hybridMultilevel"/>
    <w:tmpl w:val="DAC0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A4623"/>
    <w:multiLevelType w:val="hybridMultilevel"/>
    <w:tmpl w:val="F154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75E28"/>
    <w:multiLevelType w:val="hybridMultilevel"/>
    <w:tmpl w:val="6A023CFA"/>
    <w:lvl w:ilvl="0" w:tplc="2CB0CCE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  <w:color w:val="0D0D0D" w:themeColor="text1" w:themeTint="F2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894791E"/>
    <w:multiLevelType w:val="hybridMultilevel"/>
    <w:tmpl w:val="EA3EE80E"/>
    <w:lvl w:ilvl="0" w:tplc="F3409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67D66"/>
    <w:multiLevelType w:val="hybridMultilevel"/>
    <w:tmpl w:val="F3D8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F5338"/>
    <w:multiLevelType w:val="hybridMultilevel"/>
    <w:tmpl w:val="E954C0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66441D72"/>
    <w:multiLevelType w:val="hybridMultilevel"/>
    <w:tmpl w:val="9F04C9AC"/>
    <w:lvl w:ilvl="0" w:tplc="E36E7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D0D0D" w:themeColor="text1" w:themeTint="F2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62D90"/>
    <w:multiLevelType w:val="hybridMultilevel"/>
    <w:tmpl w:val="78803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580574"/>
    <w:multiLevelType w:val="hybridMultilevel"/>
    <w:tmpl w:val="924A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A5011"/>
    <w:multiLevelType w:val="hybridMultilevel"/>
    <w:tmpl w:val="C8EC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52680"/>
    <w:multiLevelType w:val="hybridMultilevel"/>
    <w:tmpl w:val="5AA4C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2A34BF"/>
    <w:multiLevelType w:val="hybridMultilevel"/>
    <w:tmpl w:val="A66C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4"/>
  </w:num>
  <w:num w:numId="5">
    <w:abstractNumId w:val="21"/>
  </w:num>
  <w:num w:numId="6">
    <w:abstractNumId w:val="9"/>
  </w:num>
  <w:num w:numId="7">
    <w:abstractNumId w:val="2"/>
  </w:num>
  <w:num w:numId="8">
    <w:abstractNumId w:val="17"/>
  </w:num>
  <w:num w:numId="9">
    <w:abstractNumId w:val="13"/>
  </w:num>
  <w:num w:numId="10">
    <w:abstractNumId w:val="18"/>
  </w:num>
  <w:num w:numId="11">
    <w:abstractNumId w:val="0"/>
  </w:num>
  <w:num w:numId="12">
    <w:abstractNumId w:val="14"/>
  </w:num>
  <w:num w:numId="13">
    <w:abstractNumId w:val="15"/>
  </w:num>
  <w:num w:numId="14">
    <w:abstractNumId w:val="24"/>
  </w:num>
  <w:num w:numId="15">
    <w:abstractNumId w:val="3"/>
  </w:num>
  <w:num w:numId="16">
    <w:abstractNumId w:val="10"/>
  </w:num>
  <w:num w:numId="17">
    <w:abstractNumId w:val="1"/>
  </w:num>
  <w:num w:numId="18">
    <w:abstractNumId w:val="12"/>
  </w:num>
  <w:num w:numId="19">
    <w:abstractNumId w:val="5"/>
  </w:num>
  <w:num w:numId="20">
    <w:abstractNumId w:val="20"/>
  </w:num>
  <w:num w:numId="21">
    <w:abstractNumId w:val="16"/>
  </w:num>
  <w:num w:numId="22">
    <w:abstractNumId w:val="6"/>
  </w:num>
  <w:num w:numId="23">
    <w:abstractNumId w:val="19"/>
  </w:num>
  <w:num w:numId="24">
    <w:abstractNumId w:val="7"/>
  </w:num>
  <w:num w:numId="25">
    <w:abstractNumId w:val="8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D3546"/>
    <w:rsid w:val="0001034C"/>
    <w:rsid w:val="00012374"/>
    <w:rsid w:val="00021649"/>
    <w:rsid w:val="00024165"/>
    <w:rsid w:val="00040025"/>
    <w:rsid w:val="0004207A"/>
    <w:rsid w:val="00044C91"/>
    <w:rsid w:val="00057A4D"/>
    <w:rsid w:val="00063244"/>
    <w:rsid w:val="00063C30"/>
    <w:rsid w:val="00072E41"/>
    <w:rsid w:val="00073187"/>
    <w:rsid w:val="0008166D"/>
    <w:rsid w:val="000834B3"/>
    <w:rsid w:val="00083D4C"/>
    <w:rsid w:val="00084DDC"/>
    <w:rsid w:val="00085DD1"/>
    <w:rsid w:val="00093891"/>
    <w:rsid w:val="00097810"/>
    <w:rsid w:val="000A037A"/>
    <w:rsid w:val="000A2F14"/>
    <w:rsid w:val="000A529D"/>
    <w:rsid w:val="000A5C88"/>
    <w:rsid w:val="000B0995"/>
    <w:rsid w:val="000D2012"/>
    <w:rsid w:val="000D677A"/>
    <w:rsid w:val="000D71A0"/>
    <w:rsid w:val="000E0C94"/>
    <w:rsid w:val="000F00B1"/>
    <w:rsid w:val="000F1864"/>
    <w:rsid w:val="000F5187"/>
    <w:rsid w:val="000F54E1"/>
    <w:rsid w:val="0010048E"/>
    <w:rsid w:val="00100B50"/>
    <w:rsid w:val="00102016"/>
    <w:rsid w:val="00104879"/>
    <w:rsid w:val="00110F48"/>
    <w:rsid w:val="00112CA0"/>
    <w:rsid w:val="00127416"/>
    <w:rsid w:val="00132C2A"/>
    <w:rsid w:val="00136BC8"/>
    <w:rsid w:val="00136DC0"/>
    <w:rsid w:val="001474A1"/>
    <w:rsid w:val="00147598"/>
    <w:rsid w:val="00151EC0"/>
    <w:rsid w:val="0015339B"/>
    <w:rsid w:val="001631EA"/>
    <w:rsid w:val="00164378"/>
    <w:rsid w:val="001837EF"/>
    <w:rsid w:val="001915B8"/>
    <w:rsid w:val="00191930"/>
    <w:rsid w:val="00192D37"/>
    <w:rsid w:val="00196543"/>
    <w:rsid w:val="001A0FE1"/>
    <w:rsid w:val="001A211A"/>
    <w:rsid w:val="001A327D"/>
    <w:rsid w:val="001C0FBD"/>
    <w:rsid w:val="001C4118"/>
    <w:rsid w:val="001C65B2"/>
    <w:rsid w:val="001D3B04"/>
    <w:rsid w:val="001E04C5"/>
    <w:rsid w:val="001F007D"/>
    <w:rsid w:val="001F610F"/>
    <w:rsid w:val="001F6CE3"/>
    <w:rsid w:val="00205ECD"/>
    <w:rsid w:val="00212025"/>
    <w:rsid w:val="00222FE0"/>
    <w:rsid w:val="00226813"/>
    <w:rsid w:val="00233135"/>
    <w:rsid w:val="002418DE"/>
    <w:rsid w:val="002450D4"/>
    <w:rsid w:val="002461DD"/>
    <w:rsid w:val="00251626"/>
    <w:rsid w:val="00254206"/>
    <w:rsid w:val="00273894"/>
    <w:rsid w:val="002766D3"/>
    <w:rsid w:val="002770D5"/>
    <w:rsid w:val="00284731"/>
    <w:rsid w:val="002B38D7"/>
    <w:rsid w:val="002B59C0"/>
    <w:rsid w:val="002B73A5"/>
    <w:rsid w:val="002C6251"/>
    <w:rsid w:val="002D0E8C"/>
    <w:rsid w:val="002D4DD9"/>
    <w:rsid w:val="002E2BC9"/>
    <w:rsid w:val="002F6B83"/>
    <w:rsid w:val="00300190"/>
    <w:rsid w:val="00300387"/>
    <w:rsid w:val="00302BAF"/>
    <w:rsid w:val="003038E4"/>
    <w:rsid w:val="00312ED3"/>
    <w:rsid w:val="00314616"/>
    <w:rsid w:val="003233A1"/>
    <w:rsid w:val="00327CD8"/>
    <w:rsid w:val="00332100"/>
    <w:rsid w:val="00342876"/>
    <w:rsid w:val="003506FD"/>
    <w:rsid w:val="00355284"/>
    <w:rsid w:val="00355952"/>
    <w:rsid w:val="003610D4"/>
    <w:rsid w:val="00361AB0"/>
    <w:rsid w:val="00363243"/>
    <w:rsid w:val="003742D8"/>
    <w:rsid w:val="0037621E"/>
    <w:rsid w:val="00392A00"/>
    <w:rsid w:val="003944FE"/>
    <w:rsid w:val="003974E7"/>
    <w:rsid w:val="003A2CB0"/>
    <w:rsid w:val="003B18E3"/>
    <w:rsid w:val="003B34ED"/>
    <w:rsid w:val="003C4A39"/>
    <w:rsid w:val="003C7B8F"/>
    <w:rsid w:val="003E2D15"/>
    <w:rsid w:val="003E3E44"/>
    <w:rsid w:val="003F5468"/>
    <w:rsid w:val="003F7695"/>
    <w:rsid w:val="004047CB"/>
    <w:rsid w:val="00417889"/>
    <w:rsid w:val="00422131"/>
    <w:rsid w:val="00422143"/>
    <w:rsid w:val="004239E7"/>
    <w:rsid w:val="00427F0D"/>
    <w:rsid w:val="00430781"/>
    <w:rsid w:val="00433069"/>
    <w:rsid w:val="0043709A"/>
    <w:rsid w:val="00441E3D"/>
    <w:rsid w:val="004428CD"/>
    <w:rsid w:val="00443CBF"/>
    <w:rsid w:val="00450E8E"/>
    <w:rsid w:val="00451AD4"/>
    <w:rsid w:val="00452066"/>
    <w:rsid w:val="004540FA"/>
    <w:rsid w:val="00464827"/>
    <w:rsid w:val="004721BC"/>
    <w:rsid w:val="00476538"/>
    <w:rsid w:val="004817E0"/>
    <w:rsid w:val="004820CE"/>
    <w:rsid w:val="00491369"/>
    <w:rsid w:val="00491C66"/>
    <w:rsid w:val="00497587"/>
    <w:rsid w:val="004A62BD"/>
    <w:rsid w:val="004A7355"/>
    <w:rsid w:val="004B0074"/>
    <w:rsid w:val="004B06E5"/>
    <w:rsid w:val="004C0409"/>
    <w:rsid w:val="004D66BE"/>
    <w:rsid w:val="004E6BD3"/>
    <w:rsid w:val="004E7D21"/>
    <w:rsid w:val="00500399"/>
    <w:rsid w:val="00503E29"/>
    <w:rsid w:val="00505892"/>
    <w:rsid w:val="00513FC9"/>
    <w:rsid w:val="00515348"/>
    <w:rsid w:val="00517562"/>
    <w:rsid w:val="00517BDA"/>
    <w:rsid w:val="005271EE"/>
    <w:rsid w:val="00543D61"/>
    <w:rsid w:val="00546F31"/>
    <w:rsid w:val="00550B7F"/>
    <w:rsid w:val="00552A38"/>
    <w:rsid w:val="00553C54"/>
    <w:rsid w:val="005560C5"/>
    <w:rsid w:val="00560DDE"/>
    <w:rsid w:val="0056740E"/>
    <w:rsid w:val="0057348D"/>
    <w:rsid w:val="005801E3"/>
    <w:rsid w:val="00584FBE"/>
    <w:rsid w:val="00595260"/>
    <w:rsid w:val="005A2CB7"/>
    <w:rsid w:val="005A4A6B"/>
    <w:rsid w:val="005A787E"/>
    <w:rsid w:val="005B54EB"/>
    <w:rsid w:val="005C0ED0"/>
    <w:rsid w:val="005C1865"/>
    <w:rsid w:val="005C7D16"/>
    <w:rsid w:val="005D0BEF"/>
    <w:rsid w:val="005D5097"/>
    <w:rsid w:val="005D6EBA"/>
    <w:rsid w:val="005F256D"/>
    <w:rsid w:val="005F3DE5"/>
    <w:rsid w:val="005F6C86"/>
    <w:rsid w:val="0060011D"/>
    <w:rsid w:val="00612BE1"/>
    <w:rsid w:val="006177B7"/>
    <w:rsid w:val="00625C4F"/>
    <w:rsid w:val="00637D67"/>
    <w:rsid w:val="006440AB"/>
    <w:rsid w:val="0064425E"/>
    <w:rsid w:val="00647191"/>
    <w:rsid w:val="0065509D"/>
    <w:rsid w:val="006679E0"/>
    <w:rsid w:val="006744B6"/>
    <w:rsid w:val="00674A2D"/>
    <w:rsid w:val="00675C8F"/>
    <w:rsid w:val="00682937"/>
    <w:rsid w:val="00684011"/>
    <w:rsid w:val="0069169A"/>
    <w:rsid w:val="0069495B"/>
    <w:rsid w:val="006A6920"/>
    <w:rsid w:val="006B207F"/>
    <w:rsid w:val="006B2659"/>
    <w:rsid w:val="006B47F0"/>
    <w:rsid w:val="006B68F6"/>
    <w:rsid w:val="006C1A49"/>
    <w:rsid w:val="006C7542"/>
    <w:rsid w:val="006D17F4"/>
    <w:rsid w:val="006F08D5"/>
    <w:rsid w:val="006F3999"/>
    <w:rsid w:val="006F6FBC"/>
    <w:rsid w:val="00706FA0"/>
    <w:rsid w:val="00707943"/>
    <w:rsid w:val="007105CA"/>
    <w:rsid w:val="0071757F"/>
    <w:rsid w:val="00725E63"/>
    <w:rsid w:val="00737DCD"/>
    <w:rsid w:val="00747905"/>
    <w:rsid w:val="00750CDD"/>
    <w:rsid w:val="00751218"/>
    <w:rsid w:val="007532C1"/>
    <w:rsid w:val="00757DED"/>
    <w:rsid w:val="007642FA"/>
    <w:rsid w:val="00766DEB"/>
    <w:rsid w:val="0076789D"/>
    <w:rsid w:val="00772547"/>
    <w:rsid w:val="0077336A"/>
    <w:rsid w:val="00776460"/>
    <w:rsid w:val="00780A25"/>
    <w:rsid w:val="0078478A"/>
    <w:rsid w:val="00784CDD"/>
    <w:rsid w:val="00787B43"/>
    <w:rsid w:val="007A0C0E"/>
    <w:rsid w:val="007A5E3D"/>
    <w:rsid w:val="007A6457"/>
    <w:rsid w:val="007A6BA5"/>
    <w:rsid w:val="007A6BC7"/>
    <w:rsid w:val="007B43EB"/>
    <w:rsid w:val="007B45BB"/>
    <w:rsid w:val="007B6535"/>
    <w:rsid w:val="007C1B7E"/>
    <w:rsid w:val="007C1D3D"/>
    <w:rsid w:val="007D2114"/>
    <w:rsid w:val="007D6275"/>
    <w:rsid w:val="007F0549"/>
    <w:rsid w:val="0080160C"/>
    <w:rsid w:val="00821034"/>
    <w:rsid w:val="008342DA"/>
    <w:rsid w:val="00835D0E"/>
    <w:rsid w:val="00851BB1"/>
    <w:rsid w:val="00862B63"/>
    <w:rsid w:val="00866141"/>
    <w:rsid w:val="00867575"/>
    <w:rsid w:val="00892682"/>
    <w:rsid w:val="008940D5"/>
    <w:rsid w:val="008943B5"/>
    <w:rsid w:val="00896D82"/>
    <w:rsid w:val="008A2D4B"/>
    <w:rsid w:val="008C0902"/>
    <w:rsid w:val="008C188E"/>
    <w:rsid w:val="008C4C41"/>
    <w:rsid w:val="008C56E8"/>
    <w:rsid w:val="008D2B7F"/>
    <w:rsid w:val="008D3546"/>
    <w:rsid w:val="008D7852"/>
    <w:rsid w:val="008E4903"/>
    <w:rsid w:val="0090058D"/>
    <w:rsid w:val="0091108D"/>
    <w:rsid w:val="00914FAB"/>
    <w:rsid w:val="00931EDC"/>
    <w:rsid w:val="009336C0"/>
    <w:rsid w:val="00942BBA"/>
    <w:rsid w:val="009445CD"/>
    <w:rsid w:val="009467D7"/>
    <w:rsid w:val="009748B8"/>
    <w:rsid w:val="0097746F"/>
    <w:rsid w:val="00983C3A"/>
    <w:rsid w:val="00983FC0"/>
    <w:rsid w:val="00990142"/>
    <w:rsid w:val="00990170"/>
    <w:rsid w:val="0099121A"/>
    <w:rsid w:val="009916ED"/>
    <w:rsid w:val="00992EF8"/>
    <w:rsid w:val="009B1522"/>
    <w:rsid w:val="009D398E"/>
    <w:rsid w:val="009D6E53"/>
    <w:rsid w:val="009D7FAB"/>
    <w:rsid w:val="009E5BD8"/>
    <w:rsid w:val="009E612F"/>
    <w:rsid w:val="009F13C4"/>
    <w:rsid w:val="009F3D1C"/>
    <w:rsid w:val="00A00CF0"/>
    <w:rsid w:val="00A0125E"/>
    <w:rsid w:val="00A0424B"/>
    <w:rsid w:val="00A16749"/>
    <w:rsid w:val="00A233E6"/>
    <w:rsid w:val="00A23E0F"/>
    <w:rsid w:val="00A34626"/>
    <w:rsid w:val="00A36816"/>
    <w:rsid w:val="00A61095"/>
    <w:rsid w:val="00A61A81"/>
    <w:rsid w:val="00A63840"/>
    <w:rsid w:val="00A64B02"/>
    <w:rsid w:val="00A66D19"/>
    <w:rsid w:val="00A80157"/>
    <w:rsid w:val="00A82BF7"/>
    <w:rsid w:val="00A86A8D"/>
    <w:rsid w:val="00A93032"/>
    <w:rsid w:val="00A963E9"/>
    <w:rsid w:val="00AA064E"/>
    <w:rsid w:val="00AA0718"/>
    <w:rsid w:val="00AA4EEF"/>
    <w:rsid w:val="00AB3D1E"/>
    <w:rsid w:val="00AB4CFD"/>
    <w:rsid w:val="00AC0274"/>
    <w:rsid w:val="00AC326A"/>
    <w:rsid w:val="00AE05E4"/>
    <w:rsid w:val="00AE33A9"/>
    <w:rsid w:val="00AF050C"/>
    <w:rsid w:val="00AF5761"/>
    <w:rsid w:val="00B01E0C"/>
    <w:rsid w:val="00B054AE"/>
    <w:rsid w:val="00B2713C"/>
    <w:rsid w:val="00B30076"/>
    <w:rsid w:val="00B30623"/>
    <w:rsid w:val="00B54D8B"/>
    <w:rsid w:val="00B65782"/>
    <w:rsid w:val="00B66003"/>
    <w:rsid w:val="00B66E59"/>
    <w:rsid w:val="00B77162"/>
    <w:rsid w:val="00BA34FF"/>
    <w:rsid w:val="00BA4676"/>
    <w:rsid w:val="00BC21C5"/>
    <w:rsid w:val="00BC2BD3"/>
    <w:rsid w:val="00BC52DF"/>
    <w:rsid w:val="00BC5724"/>
    <w:rsid w:val="00BD3DF1"/>
    <w:rsid w:val="00BD6981"/>
    <w:rsid w:val="00BE0138"/>
    <w:rsid w:val="00BF44D5"/>
    <w:rsid w:val="00BF720E"/>
    <w:rsid w:val="00C22C63"/>
    <w:rsid w:val="00C2439A"/>
    <w:rsid w:val="00C26444"/>
    <w:rsid w:val="00C34734"/>
    <w:rsid w:val="00C34FCC"/>
    <w:rsid w:val="00C4521C"/>
    <w:rsid w:val="00C639EF"/>
    <w:rsid w:val="00C66086"/>
    <w:rsid w:val="00C71D6E"/>
    <w:rsid w:val="00C725F0"/>
    <w:rsid w:val="00C94B5D"/>
    <w:rsid w:val="00C961E3"/>
    <w:rsid w:val="00CA4DF3"/>
    <w:rsid w:val="00CA69FA"/>
    <w:rsid w:val="00CA72D0"/>
    <w:rsid w:val="00CB1E04"/>
    <w:rsid w:val="00CB30DC"/>
    <w:rsid w:val="00CC2F8A"/>
    <w:rsid w:val="00CC316C"/>
    <w:rsid w:val="00CD059E"/>
    <w:rsid w:val="00CD0B72"/>
    <w:rsid w:val="00CE4CE2"/>
    <w:rsid w:val="00CF0167"/>
    <w:rsid w:val="00CF59D2"/>
    <w:rsid w:val="00D01D3D"/>
    <w:rsid w:val="00D05E2C"/>
    <w:rsid w:val="00D146D4"/>
    <w:rsid w:val="00D178BA"/>
    <w:rsid w:val="00D20BBE"/>
    <w:rsid w:val="00D30D40"/>
    <w:rsid w:val="00D42F36"/>
    <w:rsid w:val="00D50E5D"/>
    <w:rsid w:val="00D60B7E"/>
    <w:rsid w:val="00D6256D"/>
    <w:rsid w:val="00D65F7B"/>
    <w:rsid w:val="00D716AF"/>
    <w:rsid w:val="00D86B8E"/>
    <w:rsid w:val="00D93312"/>
    <w:rsid w:val="00DA6671"/>
    <w:rsid w:val="00DA739A"/>
    <w:rsid w:val="00DB4C73"/>
    <w:rsid w:val="00DB77EA"/>
    <w:rsid w:val="00DC0C70"/>
    <w:rsid w:val="00DC4202"/>
    <w:rsid w:val="00DE1BEE"/>
    <w:rsid w:val="00DE2585"/>
    <w:rsid w:val="00DE3046"/>
    <w:rsid w:val="00DF1B43"/>
    <w:rsid w:val="00DF5FD1"/>
    <w:rsid w:val="00E13E5C"/>
    <w:rsid w:val="00E156D9"/>
    <w:rsid w:val="00E2173B"/>
    <w:rsid w:val="00E35FCE"/>
    <w:rsid w:val="00E46D9D"/>
    <w:rsid w:val="00E553DF"/>
    <w:rsid w:val="00E71777"/>
    <w:rsid w:val="00E71E92"/>
    <w:rsid w:val="00E756B0"/>
    <w:rsid w:val="00E75F89"/>
    <w:rsid w:val="00E91649"/>
    <w:rsid w:val="00E923AA"/>
    <w:rsid w:val="00E939B1"/>
    <w:rsid w:val="00E94754"/>
    <w:rsid w:val="00E94F3C"/>
    <w:rsid w:val="00E96808"/>
    <w:rsid w:val="00E96920"/>
    <w:rsid w:val="00E96AAD"/>
    <w:rsid w:val="00E96DA3"/>
    <w:rsid w:val="00EA68C7"/>
    <w:rsid w:val="00EB24F5"/>
    <w:rsid w:val="00EB2C70"/>
    <w:rsid w:val="00EB7E25"/>
    <w:rsid w:val="00EC6308"/>
    <w:rsid w:val="00ED301C"/>
    <w:rsid w:val="00ED33D6"/>
    <w:rsid w:val="00EE3986"/>
    <w:rsid w:val="00EF29BE"/>
    <w:rsid w:val="00F02AE3"/>
    <w:rsid w:val="00F03FD9"/>
    <w:rsid w:val="00F05AEA"/>
    <w:rsid w:val="00F0607F"/>
    <w:rsid w:val="00F07BC5"/>
    <w:rsid w:val="00F33C2C"/>
    <w:rsid w:val="00F35561"/>
    <w:rsid w:val="00F3653F"/>
    <w:rsid w:val="00F43512"/>
    <w:rsid w:val="00F50627"/>
    <w:rsid w:val="00F56A9F"/>
    <w:rsid w:val="00F651BD"/>
    <w:rsid w:val="00F65BEF"/>
    <w:rsid w:val="00F67034"/>
    <w:rsid w:val="00F701B1"/>
    <w:rsid w:val="00F723F8"/>
    <w:rsid w:val="00F741A3"/>
    <w:rsid w:val="00F773FA"/>
    <w:rsid w:val="00F8023D"/>
    <w:rsid w:val="00F81234"/>
    <w:rsid w:val="00F85FEC"/>
    <w:rsid w:val="00F9409D"/>
    <w:rsid w:val="00FA23A9"/>
    <w:rsid w:val="00FC2F86"/>
    <w:rsid w:val="00FD662D"/>
    <w:rsid w:val="00FD67E0"/>
    <w:rsid w:val="00FE26AF"/>
    <w:rsid w:val="00FE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0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B7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B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B7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B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0B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CD0B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D0B72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4C0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40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0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409"/>
    <w:rPr>
      <w:sz w:val="22"/>
      <w:szCs w:val="22"/>
    </w:rPr>
  </w:style>
  <w:style w:type="character" w:styleId="Hyperlink">
    <w:name w:val="Hyperlink"/>
    <w:basedOn w:val="DefaultParagraphFont"/>
    <w:rsid w:val="004C0409"/>
    <w:rPr>
      <w:color w:val="0000FF"/>
      <w:u w:val="single"/>
    </w:rPr>
  </w:style>
  <w:style w:type="character" w:customStyle="1" w:styleId="blackten">
    <w:name w:val="blackten"/>
    <w:basedOn w:val="DefaultParagraphFont"/>
    <w:rsid w:val="00DF1B43"/>
  </w:style>
  <w:style w:type="paragraph" w:styleId="NoSpacing">
    <w:name w:val="No Spacing"/>
    <w:uiPriority w:val="1"/>
    <w:qFormat/>
    <w:rsid w:val="00983C3A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E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E44"/>
  </w:style>
  <w:style w:type="character" w:styleId="FootnoteReference">
    <w:name w:val="footnote reference"/>
    <w:basedOn w:val="DefaultParagraphFont"/>
    <w:uiPriority w:val="99"/>
    <w:semiHidden/>
    <w:unhideWhenUsed/>
    <w:rsid w:val="003E3E44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1E3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1E3D"/>
    <w:rPr>
      <w:rFonts w:ascii="Consolas" w:eastAsiaTheme="minorHAnsi" w:hAnsi="Consolas" w:cstheme="minorBidi"/>
      <w:sz w:val="21"/>
      <w:szCs w:val="21"/>
    </w:rPr>
  </w:style>
  <w:style w:type="table" w:styleId="TableGrid">
    <w:name w:val="Table Grid"/>
    <w:basedOn w:val="TableNormal"/>
    <w:uiPriority w:val="59"/>
    <w:rsid w:val="00E46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nnonk@ag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rys\Desktop\Templates\One%20Pager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AA070-E925-4EC6-A505-312C7251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 Pager Format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AGC</Company>
  <LinksUpToDate>false</LinksUpToDate>
  <CharactersWithSpaces>3094</CharactersWithSpaces>
  <SharedDoc>false</SharedDoc>
  <HLinks>
    <vt:vector size="6" baseType="variant"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mailto:cannonk@agc.org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berrys</dc:creator>
  <cp:lastModifiedBy>cannonk</cp:lastModifiedBy>
  <cp:revision>2</cp:revision>
  <cp:lastPrinted>2013-09-25T20:31:00Z</cp:lastPrinted>
  <dcterms:created xsi:type="dcterms:W3CDTF">2013-09-27T17:13:00Z</dcterms:created>
  <dcterms:modified xsi:type="dcterms:W3CDTF">2013-09-27T17:13:00Z</dcterms:modified>
</cp:coreProperties>
</file>